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23" w:type="dxa"/>
        <w:tblLayout w:type="fixed"/>
        <w:tblLook w:val="04A0" w:firstRow="1" w:lastRow="0" w:firstColumn="1" w:lastColumn="0" w:noHBand="0" w:noVBand="1"/>
      </w:tblPr>
      <w:tblGrid>
        <w:gridCol w:w="426"/>
        <w:gridCol w:w="1275"/>
        <w:gridCol w:w="737"/>
        <w:gridCol w:w="6407"/>
      </w:tblGrid>
      <w:tr w:rsidR="00CE544A" w:rsidRPr="00975B07" w14:paraId="41EA7403" w14:textId="77777777" w:rsidTr="001E11DA">
        <w:tc>
          <w:tcPr>
            <w:tcW w:w="2438" w:type="dxa"/>
            <w:gridSpan w:val="3"/>
            <w:shd w:val="clear" w:color="auto" w:fill="auto"/>
          </w:tcPr>
          <w:p w14:paraId="296D49A7" w14:textId="77777777"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7" w:type="dxa"/>
            <w:shd w:val="clear" w:color="auto" w:fill="auto"/>
          </w:tcPr>
          <w:p w14:paraId="60AF58B1" w14:textId="277925AA" w:rsidR="002E4F88" w:rsidRPr="00F95BC9" w:rsidRDefault="00F445B1" w:rsidP="00CA54F1">
            <w:pPr>
              <w:rPr>
                <w:rStyle w:val="Firstpagetablebold"/>
              </w:rPr>
            </w:pPr>
            <w:r w:rsidRPr="00F95BC9">
              <w:rPr>
                <w:rStyle w:val="Firstpagetablebold"/>
              </w:rPr>
              <w:t>C</w:t>
            </w:r>
            <w:r w:rsidR="00CA54F1">
              <w:rPr>
                <w:rStyle w:val="Firstpagetablebold"/>
              </w:rPr>
              <w:t>abinet</w:t>
            </w:r>
          </w:p>
        </w:tc>
      </w:tr>
      <w:tr w:rsidR="00CE544A" w:rsidRPr="00975B07" w14:paraId="552D9FBB" w14:textId="77777777" w:rsidTr="001E11DA">
        <w:tc>
          <w:tcPr>
            <w:tcW w:w="2438" w:type="dxa"/>
            <w:gridSpan w:val="3"/>
            <w:shd w:val="clear" w:color="auto" w:fill="auto"/>
          </w:tcPr>
          <w:p w14:paraId="5A717EA4" w14:textId="77777777"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7" w:type="dxa"/>
            <w:shd w:val="clear" w:color="auto" w:fill="auto"/>
          </w:tcPr>
          <w:p w14:paraId="4F143477" w14:textId="77777777" w:rsidR="00F445B1" w:rsidRPr="001356F1" w:rsidRDefault="00295CCF" w:rsidP="006B5390">
            <w:pPr>
              <w:rPr>
                <w:b/>
              </w:rPr>
            </w:pPr>
            <w:r>
              <w:rPr>
                <w:rStyle w:val="Firstpagetablebold"/>
              </w:rPr>
              <w:t>12 February 2020</w:t>
            </w:r>
          </w:p>
        </w:tc>
      </w:tr>
      <w:tr w:rsidR="00CE544A" w:rsidRPr="00975B07" w14:paraId="582E1D38" w14:textId="77777777" w:rsidTr="001E11DA">
        <w:tc>
          <w:tcPr>
            <w:tcW w:w="2438" w:type="dxa"/>
            <w:gridSpan w:val="3"/>
            <w:shd w:val="clear" w:color="auto" w:fill="auto"/>
          </w:tcPr>
          <w:p w14:paraId="5255B55B" w14:textId="77777777"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7" w:type="dxa"/>
            <w:shd w:val="clear" w:color="auto" w:fill="auto"/>
          </w:tcPr>
          <w:p w14:paraId="3D1B3787" w14:textId="5B3BB5FA" w:rsidR="00F445B1" w:rsidRPr="001356F1" w:rsidRDefault="009C5C86" w:rsidP="009C5C86">
            <w:pPr>
              <w:rPr>
                <w:rStyle w:val="Firstpagetablebold"/>
              </w:rPr>
            </w:pPr>
            <w:r>
              <w:rPr>
                <w:rStyle w:val="Firstpagetablebold"/>
              </w:rPr>
              <w:t>Interim Director of Housing</w:t>
            </w:r>
          </w:p>
        </w:tc>
      </w:tr>
      <w:tr w:rsidR="00CE544A" w:rsidRPr="00975B07" w14:paraId="05D1DF2F" w14:textId="77777777" w:rsidTr="001E11DA">
        <w:tc>
          <w:tcPr>
            <w:tcW w:w="2438" w:type="dxa"/>
            <w:gridSpan w:val="3"/>
            <w:shd w:val="clear" w:color="auto" w:fill="auto"/>
          </w:tcPr>
          <w:p w14:paraId="7C23CBC0" w14:textId="77777777" w:rsidR="00F445B1" w:rsidRPr="00975B07" w:rsidRDefault="00F445B1" w:rsidP="004A6D2F">
            <w:pPr>
              <w:rPr>
                <w:rStyle w:val="Firstpagetablebold"/>
              </w:rPr>
            </w:pPr>
            <w:r w:rsidRPr="00975B07">
              <w:rPr>
                <w:rStyle w:val="Firstpagetablebold"/>
              </w:rPr>
              <w:t xml:space="preserve">Title of Report: </w:t>
            </w:r>
          </w:p>
        </w:tc>
        <w:tc>
          <w:tcPr>
            <w:tcW w:w="6407" w:type="dxa"/>
            <w:shd w:val="clear" w:color="auto" w:fill="auto"/>
          </w:tcPr>
          <w:p w14:paraId="044C7FDC" w14:textId="77777777" w:rsidR="00F445B1" w:rsidRPr="001356F1" w:rsidRDefault="00641E81" w:rsidP="00295CCF">
            <w:pPr>
              <w:rPr>
                <w:rStyle w:val="Firstpagetablebold"/>
              </w:rPr>
            </w:pPr>
            <w:r>
              <w:rPr>
                <w:rStyle w:val="Firstpagetablebold"/>
              </w:rPr>
              <w:t xml:space="preserve">Allocation of Homelessness </w:t>
            </w:r>
            <w:r w:rsidR="001557DE">
              <w:rPr>
                <w:rStyle w:val="Firstpagetablebold"/>
              </w:rPr>
              <w:t>Prevention</w:t>
            </w:r>
            <w:r>
              <w:rPr>
                <w:rStyle w:val="Firstpagetablebold"/>
              </w:rPr>
              <w:t xml:space="preserve"> Funds for </w:t>
            </w:r>
            <w:r w:rsidR="00295CCF">
              <w:rPr>
                <w:rStyle w:val="Firstpagetablebold"/>
              </w:rPr>
              <w:t>20</w:t>
            </w:r>
            <w:r w:rsidR="006E1F19">
              <w:rPr>
                <w:rStyle w:val="Firstpagetablebold"/>
              </w:rPr>
              <w:t>20</w:t>
            </w:r>
            <w:r w:rsidR="00295CCF">
              <w:rPr>
                <w:rStyle w:val="Firstpagetablebold"/>
              </w:rPr>
              <w:t>/21</w:t>
            </w:r>
            <w:r>
              <w:rPr>
                <w:rStyle w:val="Firstpagetablebold"/>
              </w:rPr>
              <w:t xml:space="preserve"> </w:t>
            </w:r>
          </w:p>
        </w:tc>
      </w:tr>
      <w:tr w:rsidR="00D5547E" w14:paraId="46A79078" w14:textId="77777777" w:rsidTr="001E11D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c>
          <w:tcPr>
            <w:tcW w:w="8845" w:type="dxa"/>
            <w:gridSpan w:val="4"/>
            <w:tcBorders>
              <w:bottom w:val="single" w:sz="8" w:space="0" w:color="000000"/>
            </w:tcBorders>
            <w:hideMark/>
          </w:tcPr>
          <w:p w14:paraId="5F6BD3C2" w14:textId="77777777" w:rsidR="00D5547E" w:rsidRDefault="00745BF0" w:rsidP="00667A30">
            <w:pPr>
              <w:spacing w:before="60" w:after="60"/>
              <w:jc w:val="center"/>
              <w:rPr>
                <w:rStyle w:val="Firstpagetablebold"/>
              </w:rPr>
            </w:pPr>
            <w:r>
              <w:rPr>
                <w:rStyle w:val="Firstpagetablebold"/>
              </w:rPr>
              <w:t>Summary and r</w:t>
            </w:r>
            <w:r w:rsidR="00D5547E">
              <w:rPr>
                <w:rStyle w:val="Firstpagetablebold"/>
              </w:rPr>
              <w:t>ecommendations</w:t>
            </w:r>
          </w:p>
        </w:tc>
      </w:tr>
      <w:tr w:rsidR="00D5547E" w14:paraId="5CF97C7A" w14:textId="77777777" w:rsidTr="001E11D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c>
          <w:tcPr>
            <w:tcW w:w="2438" w:type="dxa"/>
            <w:gridSpan w:val="3"/>
            <w:tcBorders>
              <w:top w:val="single" w:sz="8" w:space="0" w:color="000000"/>
              <w:left w:val="single" w:sz="8" w:space="0" w:color="000000"/>
              <w:bottom w:val="nil"/>
              <w:right w:val="nil"/>
            </w:tcBorders>
            <w:hideMark/>
          </w:tcPr>
          <w:p w14:paraId="255E2104" w14:textId="77777777" w:rsidR="00D5547E" w:rsidRDefault="00D5547E" w:rsidP="00667A30">
            <w:pPr>
              <w:spacing w:before="60" w:after="60"/>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14:paraId="27254CA1" w14:textId="75E805A7" w:rsidR="00D5547E" w:rsidRPr="001356F1" w:rsidRDefault="00641E81" w:rsidP="006B2377">
            <w:pPr>
              <w:spacing w:before="60" w:after="60"/>
            </w:pPr>
            <w:r>
              <w:t>To approve the allocation of homelessness prevention funds</w:t>
            </w:r>
            <w:r w:rsidR="00BF0497">
              <w:t xml:space="preserve"> for 2020/21</w:t>
            </w:r>
            <w:r>
              <w:t xml:space="preserve"> with the purpose of </w:t>
            </w:r>
            <w:r w:rsidR="003257B8">
              <w:t xml:space="preserve">helping </w:t>
            </w:r>
            <w:r w:rsidR="00AF22C4">
              <w:t xml:space="preserve">to </w:t>
            </w:r>
            <w:r w:rsidR="003257B8">
              <w:t xml:space="preserve">meet </w:t>
            </w:r>
            <w:r>
              <w:t xml:space="preserve">the objectives of the </w:t>
            </w:r>
            <w:r w:rsidR="00E11B79">
              <w:t xml:space="preserve">Housing </w:t>
            </w:r>
            <w:r w:rsidR="006B2377">
              <w:t>and</w:t>
            </w:r>
            <w:r w:rsidR="00E11B79">
              <w:t xml:space="preserve"> </w:t>
            </w:r>
            <w:r>
              <w:t>Homelessness Strategy</w:t>
            </w:r>
            <w:r w:rsidR="00E11B79">
              <w:t xml:space="preserve"> 2018/21</w:t>
            </w:r>
            <w:r>
              <w:t xml:space="preserve">. </w:t>
            </w:r>
          </w:p>
        </w:tc>
      </w:tr>
      <w:tr w:rsidR="00D5547E" w14:paraId="09E2B54A" w14:textId="77777777" w:rsidTr="001E11D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c>
          <w:tcPr>
            <w:tcW w:w="2438" w:type="dxa"/>
            <w:gridSpan w:val="3"/>
            <w:tcBorders>
              <w:top w:val="nil"/>
              <w:left w:val="single" w:sz="8" w:space="0" w:color="000000"/>
              <w:bottom w:val="nil"/>
              <w:right w:val="nil"/>
            </w:tcBorders>
            <w:hideMark/>
          </w:tcPr>
          <w:p w14:paraId="6A2932CD" w14:textId="77777777" w:rsidR="00D5547E" w:rsidRDefault="00D5547E" w:rsidP="00667A30">
            <w:pPr>
              <w:spacing w:before="60" w:after="60"/>
              <w:rPr>
                <w:rStyle w:val="Firstpagetablebold"/>
              </w:rPr>
            </w:pPr>
            <w:r>
              <w:rPr>
                <w:rStyle w:val="Firstpagetablebold"/>
              </w:rPr>
              <w:t>Key decision:</w:t>
            </w:r>
          </w:p>
        </w:tc>
        <w:tc>
          <w:tcPr>
            <w:tcW w:w="6407" w:type="dxa"/>
            <w:tcBorders>
              <w:top w:val="nil"/>
              <w:left w:val="nil"/>
              <w:bottom w:val="nil"/>
              <w:right w:val="single" w:sz="8" w:space="0" w:color="000000"/>
            </w:tcBorders>
            <w:hideMark/>
          </w:tcPr>
          <w:p w14:paraId="498EE48C" w14:textId="77777777" w:rsidR="00D5547E" w:rsidRPr="001356F1" w:rsidRDefault="00D5547E" w:rsidP="00667A30">
            <w:pPr>
              <w:spacing w:before="60" w:after="60"/>
            </w:pPr>
            <w:r w:rsidRPr="001356F1">
              <w:t>Yes</w:t>
            </w:r>
          </w:p>
        </w:tc>
      </w:tr>
      <w:tr w:rsidR="00D5547E" w14:paraId="35040129" w14:textId="77777777" w:rsidTr="001E11D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c>
          <w:tcPr>
            <w:tcW w:w="2438" w:type="dxa"/>
            <w:gridSpan w:val="3"/>
            <w:tcBorders>
              <w:top w:val="nil"/>
              <w:left w:val="single" w:sz="8" w:space="0" w:color="000000"/>
              <w:bottom w:val="nil"/>
              <w:right w:val="nil"/>
            </w:tcBorders>
            <w:hideMark/>
          </w:tcPr>
          <w:p w14:paraId="595196F9" w14:textId="77777777" w:rsidR="00D5547E" w:rsidRDefault="00D5547E" w:rsidP="00667A30">
            <w:pPr>
              <w:spacing w:before="60" w:after="60"/>
              <w:rPr>
                <w:rStyle w:val="Firstpagetablebold"/>
              </w:rPr>
            </w:pPr>
            <w:r>
              <w:rPr>
                <w:rStyle w:val="Firstpagetablebold"/>
              </w:rPr>
              <w:t>Executive Board Member:</w:t>
            </w:r>
          </w:p>
        </w:tc>
        <w:tc>
          <w:tcPr>
            <w:tcW w:w="6407" w:type="dxa"/>
            <w:tcBorders>
              <w:top w:val="nil"/>
              <w:left w:val="nil"/>
              <w:bottom w:val="nil"/>
              <w:right w:val="single" w:sz="8" w:space="0" w:color="000000"/>
            </w:tcBorders>
            <w:hideMark/>
          </w:tcPr>
          <w:p w14:paraId="2A19A60D" w14:textId="77777777" w:rsidR="00D5547E" w:rsidRPr="001356F1" w:rsidRDefault="00641E81" w:rsidP="002660AD">
            <w:pPr>
              <w:spacing w:before="60" w:after="60"/>
            </w:pPr>
            <w:r>
              <w:t xml:space="preserve">Cllr </w:t>
            </w:r>
            <w:r w:rsidR="006E1F19">
              <w:t>Linda Smith</w:t>
            </w:r>
            <w:r w:rsidR="002660AD">
              <w:t xml:space="preserve">, </w:t>
            </w:r>
            <w:r w:rsidR="002660AD">
              <w:rPr>
                <w:lang w:val="en"/>
              </w:rPr>
              <w:t>Deputy Leader (Statutory) of the Council, and Board Member for Leisure and Housing</w:t>
            </w:r>
          </w:p>
        </w:tc>
      </w:tr>
      <w:tr w:rsidR="0080749A" w14:paraId="5AA40BD3" w14:textId="77777777" w:rsidTr="001E11D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c>
          <w:tcPr>
            <w:tcW w:w="2438" w:type="dxa"/>
            <w:gridSpan w:val="3"/>
            <w:tcBorders>
              <w:top w:val="nil"/>
              <w:left w:val="single" w:sz="8" w:space="0" w:color="000000"/>
              <w:bottom w:val="nil"/>
              <w:right w:val="nil"/>
            </w:tcBorders>
          </w:tcPr>
          <w:p w14:paraId="75AD63D3" w14:textId="77777777" w:rsidR="0080749A" w:rsidRDefault="0080749A" w:rsidP="00667A30">
            <w:pPr>
              <w:spacing w:before="60" w:after="60"/>
              <w:rPr>
                <w:rStyle w:val="Firstpagetablebold"/>
              </w:rPr>
            </w:pPr>
            <w:r>
              <w:rPr>
                <w:rStyle w:val="Firstpagetablebold"/>
              </w:rPr>
              <w:t>Corporate Priority:</w:t>
            </w:r>
          </w:p>
        </w:tc>
        <w:tc>
          <w:tcPr>
            <w:tcW w:w="6407" w:type="dxa"/>
            <w:tcBorders>
              <w:top w:val="nil"/>
              <w:left w:val="nil"/>
              <w:bottom w:val="nil"/>
              <w:right w:val="single" w:sz="8" w:space="0" w:color="000000"/>
            </w:tcBorders>
          </w:tcPr>
          <w:p w14:paraId="17DB7F01" w14:textId="77777777" w:rsidR="0080749A" w:rsidRPr="001356F1" w:rsidRDefault="00641E81" w:rsidP="00667A30">
            <w:pPr>
              <w:spacing w:before="60" w:after="60"/>
            </w:pPr>
            <w:r>
              <w:t>Meeting housing needs</w:t>
            </w:r>
          </w:p>
        </w:tc>
      </w:tr>
      <w:tr w:rsidR="00D5547E" w14:paraId="45BCCC5A" w14:textId="77777777" w:rsidTr="001E11D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c>
          <w:tcPr>
            <w:tcW w:w="2438" w:type="dxa"/>
            <w:gridSpan w:val="3"/>
            <w:tcBorders>
              <w:top w:val="nil"/>
              <w:left w:val="single" w:sz="8" w:space="0" w:color="000000"/>
              <w:bottom w:val="single" w:sz="4" w:space="0" w:color="auto"/>
              <w:right w:val="nil"/>
            </w:tcBorders>
            <w:hideMark/>
          </w:tcPr>
          <w:p w14:paraId="62667BE9" w14:textId="77777777" w:rsidR="00D5547E" w:rsidRDefault="00D5547E" w:rsidP="00667A30">
            <w:pPr>
              <w:spacing w:before="60" w:after="60"/>
              <w:rPr>
                <w:rStyle w:val="Firstpagetablebold"/>
              </w:rPr>
            </w:pPr>
            <w:r>
              <w:rPr>
                <w:rStyle w:val="Firstpagetablebold"/>
              </w:rPr>
              <w:t>Policy Framework:</w:t>
            </w:r>
          </w:p>
        </w:tc>
        <w:tc>
          <w:tcPr>
            <w:tcW w:w="6407" w:type="dxa"/>
            <w:tcBorders>
              <w:top w:val="nil"/>
              <w:left w:val="nil"/>
              <w:bottom w:val="single" w:sz="4" w:space="0" w:color="auto"/>
              <w:right w:val="single" w:sz="8" w:space="0" w:color="000000"/>
            </w:tcBorders>
            <w:hideMark/>
          </w:tcPr>
          <w:p w14:paraId="10AC86D1" w14:textId="77777777" w:rsidR="00D5547E" w:rsidRPr="001356F1" w:rsidRDefault="00641E81" w:rsidP="003257B8">
            <w:pPr>
              <w:spacing w:before="60" w:after="60"/>
            </w:pPr>
            <w:r>
              <w:t>H</w:t>
            </w:r>
            <w:r w:rsidR="00667A30">
              <w:t xml:space="preserve">ousing </w:t>
            </w:r>
            <w:r w:rsidR="003257B8">
              <w:t xml:space="preserve">and </w:t>
            </w:r>
            <w:r w:rsidR="00667A30">
              <w:t>h</w:t>
            </w:r>
            <w:r>
              <w:t xml:space="preserve">omelessness strategy </w:t>
            </w:r>
            <w:r w:rsidR="00E11B79">
              <w:t>2018/21</w:t>
            </w:r>
          </w:p>
        </w:tc>
      </w:tr>
      <w:tr w:rsidR="005F7F7E" w:rsidRPr="00975B07" w14:paraId="35E13156" w14:textId="77777777" w:rsidTr="001E11D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413"/>
        </w:trPr>
        <w:tc>
          <w:tcPr>
            <w:tcW w:w="8845" w:type="dxa"/>
            <w:gridSpan w:val="4"/>
            <w:tcBorders>
              <w:top w:val="single" w:sz="4" w:space="0" w:color="auto"/>
              <w:left w:val="single" w:sz="4" w:space="0" w:color="auto"/>
              <w:bottom w:val="single" w:sz="4" w:space="0" w:color="auto"/>
              <w:right w:val="single" w:sz="4" w:space="0" w:color="auto"/>
            </w:tcBorders>
          </w:tcPr>
          <w:p w14:paraId="76F87D05" w14:textId="154983F9" w:rsidR="005F7F7E" w:rsidRPr="00975B07" w:rsidRDefault="00A10767" w:rsidP="00B93809">
            <w:pPr>
              <w:spacing w:before="60" w:after="60"/>
            </w:pPr>
            <w:r>
              <w:rPr>
                <w:rStyle w:val="Firstpagetablebold"/>
              </w:rPr>
              <w:t>Recommendations</w:t>
            </w:r>
            <w:r w:rsidR="005F7F7E">
              <w:rPr>
                <w:rStyle w:val="Firstpagetablebold"/>
              </w:rPr>
              <w:t>:</w:t>
            </w:r>
            <w:r w:rsidR="00437F75">
              <w:rPr>
                <w:rStyle w:val="Firstpagetablebold"/>
              </w:rPr>
              <w:t xml:space="preserve"> </w:t>
            </w:r>
            <w:r w:rsidR="005F7F7E" w:rsidRPr="002D3818">
              <w:rPr>
                <w:rStyle w:val="Firstpagetablebold"/>
                <w:b w:val="0"/>
              </w:rPr>
              <w:t xml:space="preserve">That </w:t>
            </w:r>
            <w:r w:rsidR="00B93809">
              <w:rPr>
                <w:rStyle w:val="Firstpagetablebold"/>
                <w:b w:val="0"/>
              </w:rPr>
              <w:t xml:space="preserve">Cabinet </w:t>
            </w:r>
            <w:r w:rsidR="005F7F7E" w:rsidRPr="002D3818">
              <w:rPr>
                <w:rStyle w:val="Firstpagetablebold"/>
                <w:b w:val="0"/>
              </w:rPr>
              <w:t>resolves to:</w:t>
            </w:r>
          </w:p>
        </w:tc>
      </w:tr>
      <w:tr w:rsidR="0030208D" w:rsidRPr="005E72B2" w14:paraId="21618AFD" w14:textId="77777777" w:rsidTr="00B93809">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283"/>
        </w:trPr>
        <w:tc>
          <w:tcPr>
            <w:tcW w:w="426" w:type="dxa"/>
            <w:tcBorders>
              <w:top w:val="nil"/>
              <w:left w:val="single" w:sz="4" w:space="0" w:color="auto"/>
              <w:bottom w:val="nil"/>
              <w:right w:val="nil"/>
            </w:tcBorders>
          </w:tcPr>
          <w:p w14:paraId="1B2E8849" w14:textId="77777777" w:rsidR="0030208D" w:rsidRPr="00975B07" w:rsidRDefault="00046D2B" w:rsidP="00667A30">
            <w:pPr>
              <w:spacing w:before="60" w:after="60"/>
            </w:pPr>
            <w:r w:rsidRPr="00975B07">
              <w:t>1.</w:t>
            </w:r>
          </w:p>
        </w:tc>
        <w:tc>
          <w:tcPr>
            <w:tcW w:w="8419" w:type="dxa"/>
            <w:gridSpan w:val="3"/>
            <w:tcBorders>
              <w:top w:val="single" w:sz="4" w:space="0" w:color="auto"/>
              <w:left w:val="nil"/>
              <w:bottom w:val="nil"/>
              <w:right w:val="single" w:sz="4" w:space="0" w:color="auto"/>
            </w:tcBorders>
            <w:shd w:val="clear" w:color="auto" w:fill="auto"/>
          </w:tcPr>
          <w:p w14:paraId="632F1C67" w14:textId="2273320A" w:rsidR="0060004F" w:rsidRPr="005E72B2" w:rsidRDefault="00641E81" w:rsidP="00735BD7">
            <w:pPr>
              <w:spacing w:before="60" w:after="60"/>
            </w:pPr>
            <w:r w:rsidRPr="005E72B2">
              <w:rPr>
                <w:rStyle w:val="Firstpagetablebold"/>
              </w:rPr>
              <w:t xml:space="preserve">Approve </w:t>
            </w:r>
            <w:r w:rsidRPr="005E72B2">
              <w:rPr>
                <w:rStyle w:val="Firstpagetablebold"/>
                <w:b w:val="0"/>
              </w:rPr>
              <w:t xml:space="preserve">the allocation of Homelessness Prevention funds to commission homelessness services </w:t>
            </w:r>
            <w:r w:rsidR="005E72B2" w:rsidRPr="005D6ECD">
              <w:rPr>
                <w:rStyle w:val="Firstpagetablebold"/>
                <w:b w:val="0"/>
              </w:rPr>
              <w:t>in 20</w:t>
            </w:r>
            <w:r w:rsidR="006E1F19" w:rsidRPr="005D6ECD">
              <w:rPr>
                <w:rStyle w:val="Firstpagetablebold"/>
                <w:b w:val="0"/>
              </w:rPr>
              <w:t>20</w:t>
            </w:r>
            <w:r w:rsidR="00BF0497" w:rsidRPr="005D6ECD">
              <w:rPr>
                <w:rStyle w:val="Firstpagetablebold"/>
                <w:b w:val="0"/>
              </w:rPr>
              <w:t>/21</w:t>
            </w:r>
            <w:r w:rsidR="005E72B2" w:rsidRPr="005D6ECD">
              <w:rPr>
                <w:rStyle w:val="Firstpagetablebold"/>
                <w:b w:val="0"/>
              </w:rPr>
              <w:t xml:space="preserve"> </w:t>
            </w:r>
            <w:r w:rsidRPr="005D6ECD">
              <w:rPr>
                <w:rStyle w:val="Firstpagetablebold"/>
                <w:b w:val="0"/>
              </w:rPr>
              <w:t xml:space="preserve">as outlined in paragraph </w:t>
            </w:r>
            <w:r w:rsidR="005D6ECD" w:rsidRPr="005D6ECD">
              <w:rPr>
                <w:rStyle w:val="Firstpagetablebold"/>
                <w:b w:val="0"/>
              </w:rPr>
              <w:t>3</w:t>
            </w:r>
            <w:r w:rsidR="000E44C5" w:rsidRPr="005D6ECD">
              <w:rPr>
                <w:rStyle w:val="Firstpagetablebold"/>
                <w:b w:val="0"/>
              </w:rPr>
              <w:t>6</w:t>
            </w:r>
            <w:r w:rsidR="000970B5" w:rsidRPr="005D6ECD">
              <w:rPr>
                <w:rStyle w:val="Firstpagetablebold"/>
                <w:b w:val="0"/>
              </w:rPr>
              <w:t xml:space="preserve"> to </w:t>
            </w:r>
            <w:r w:rsidR="005D6ECD" w:rsidRPr="005D6ECD">
              <w:rPr>
                <w:rStyle w:val="Firstpagetablebold"/>
                <w:b w:val="0"/>
              </w:rPr>
              <w:t>4</w:t>
            </w:r>
            <w:r w:rsidR="000E44C5" w:rsidRPr="005D6ECD">
              <w:rPr>
                <w:rStyle w:val="Firstpagetablebold"/>
                <w:b w:val="0"/>
              </w:rPr>
              <w:t>8</w:t>
            </w:r>
            <w:r w:rsidR="0055246F" w:rsidRPr="005D6ECD">
              <w:rPr>
                <w:rStyle w:val="Firstpagetablebold"/>
                <w:b w:val="0"/>
              </w:rPr>
              <w:t xml:space="preserve"> </w:t>
            </w:r>
            <w:r w:rsidR="00723E99" w:rsidRPr="005D6ECD">
              <w:rPr>
                <w:rStyle w:val="Firstpagetablebold"/>
                <w:b w:val="0"/>
              </w:rPr>
              <w:t>and in Appendix D</w:t>
            </w:r>
            <w:r w:rsidR="00D67D59">
              <w:rPr>
                <w:rStyle w:val="Firstpagetablebold"/>
                <w:b w:val="0"/>
              </w:rPr>
              <w:t xml:space="preserve"> of the report</w:t>
            </w:r>
            <w:r w:rsidR="00B93809">
              <w:rPr>
                <w:rStyle w:val="Firstpagetablebold"/>
                <w:b w:val="0"/>
              </w:rPr>
              <w:t xml:space="preserve">; and </w:t>
            </w:r>
          </w:p>
        </w:tc>
      </w:tr>
      <w:tr w:rsidR="0030208D" w:rsidRPr="00975B07" w14:paraId="1A88F0B2" w14:textId="77777777" w:rsidTr="00B93809">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283"/>
        </w:trPr>
        <w:tc>
          <w:tcPr>
            <w:tcW w:w="426" w:type="dxa"/>
            <w:tcBorders>
              <w:top w:val="nil"/>
              <w:left w:val="single" w:sz="4" w:space="0" w:color="auto"/>
              <w:bottom w:val="single" w:sz="4" w:space="0" w:color="auto"/>
              <w:right w:val="nil"/>
            </w:tcBorders>
          </w:tcPr>
          <w:p w14:paraId="361DD125" w14:textId="77777777" w:rsidR="0030208D" w:rsidRPr="00975B07" w:rsidRDefault="00BF0497" w:rsidP="00667A30">
            <w:pPr>
              <w:spacing w:before="60" w:after="60"/>
            </w:pPr>
            <w:r>
              <w:t>2</w:t>
            </w:r>
            <w:r w:rsidR="00046D2B" w:rsidRPr="00975B07">
              <w:t>.</w:t>
            </w:r>
          </w:p>
        </w:tc>
        <w:tc>
          <w:tcPr>
            <w:tcW w:w="8419" w:type="dxa"/>
            <w:gridSpan w:val="3"/>
            <w:tcBorders>
              <w:top w:val="nil"/>
              <w:left w:val="nil"/>
              <w:bottom w:val="single" w:sz="4" w:space="0" w:color="auto"/>
              <w:right w:val="single" w:sz="4" w:space="0" w:color="auto"/>
            </w:tcBorders>
            <w:shd w:val="clear" w:color="auto" w:fill="auto"/>
          </w:tcPr>
          <w:p w14:paraId="30ED4BFD" w14:textId="660D5AAA" w:rsidR="006B5390" w:rsidRPr="0055246F" w:rsidRDefault="006B5390" w:rsidP="003B6B56">
            <w:pPr>
              <w:spacing w:before="60" w:after="60"/>
            </w:pPr>
            <w:r>
              <w:rPr>
                <w:rStyle w:val="Firstpagetablebold"/>
              </w:rPr>
              <w:t xml:space="preserve">Delegate </w:t>
            </w:r>
            <w:r>
              <w:rPr>
                <w:rStyle w:val="Firstpagetablebold"/>
                <w:b w:val="0"/>
              </w:rPr>
              <w:t>to the</w:t>
            </w:r>
            <w:r w:rsidR="003D27E9">
              <w:rPr>
                <w:rStyle w:val="Firstpagetablebold"/>
                <w:b w:val="0"/>
              </w:rPr>
              <w:t xml:space="preserve"> Interim </w:t>
            </w:r>
            <w:r w:rsidR="00D2181A">
              <w:rPr>
                <w:rStyle w:val="Firstpagetablebold"/>
                <w:b w:val="0"/>
              </w:rPr>
              <w:t>Director of Housing</w:t>
            </w:r>
            <w:r>
              <w:rPr>
                <w:rStyle w:val="Firstpagetablebold"/>
                <w:b w:val="0"/>
              </w:rPr>
              <w:t xml:space="preserve"> in consultation with the portfolio holder</w:t>
            </w:r>
            <w:r w:rsidDel="003257B8">
              <w:rPr>
                <w:rStyle w:val="Firstpagetablebold"/>
                <w:b w:val="0"/>
              </w:rPr>
              <w:t xml:space="preserve"> </w:t>
            </w:r>
            <w:r>
              <w:rPr>
                <w:rStyle w:val="Firstpagetablebold"/>
                <w:b w:val="0"/>
              </w:rPr>
              <w:t>for Housing the discretion to revise the intended programme within the overall budget if required.</w:t>
            </w:r>
          </w:p>
        </w:tc>
      </w:tr>
      <w:tr w:rsidR="00966D42" w:rsidRPr="00975B07" w14:paraId="4F65C5F9" w14:textId="77777777" w:rsidTr="001E11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45" w:type="dxa"/>
            <w:gridSpan w:val="4"/>
            <w:tcBorders>
              <w:top w:val="single" w:sz="4" w:space="0" w:color="auto"/>
              <w:left w:val="single" w:sz="8" w:space="0" w:color="000000"/>
              <w:bottom w:val="single" w:sz="4" w:space="0" w:color="auto"/>
              <w:right w:val="single" w:sz="8" w:space="0" w:color="000000"/>
            </w:tcBorders>
            <w:shd w:val="clear" w:color="auto" w:fill="auto"/>
          </w:tcPr>
          <w:p w14:paraId="12869098" w14:textId="77777777" w:rsidR="00966D42" w:rsidRPr="00975B07" w:rsidRDefault="00966D42" w:rsidP="00667A30">
            <w:pPr>
              <w:spacing w:before="60" w:after="60"/>
              <w:jc w:val="center"/>
            </w:pPr>
            <w:r w:rsidRPr="00745BF0">
              <w:rPr>
                <w:rStyle w:val="Firstpagetablebold"/>
              </w:rPr>
              <w:t>Appendices</w:t>
            </w:r>
          </w:p>
        </w:tc>
      </w:tr>
      <w:tr w:rsidR="00ED5860" w:rsidRPr="00975B07" w14:paraId="0273844E" w14:textId="77777777" w:rsidTr="001E11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14:paraId="0E68C87D" w14:textId="77777777" w:rsidR="00ED5860" w:rsidRPr="005E72B2" w:rsidRDefault="00ED5860" w:rsidP="005E72B2">
            <w:pPr>
              <w:spacing w:before="60" w:after="60"/>
            </w:pPr>
            <w:r w:rsidRPr="005E72B2">
              <w:t xml:space="preserve">Appendix </w:t>
            </w:r>
            <w:r w:rsidR="005E72B2" w:rsidRPr="005E72B2">
              <w:t>A</w:t>
            </w:r>
          </w:p>
        </w:tc>
        <w:tc>
          <w:tcPr>
            <w:tcW w:w="7144" w:type="dxa"/>
            <w:gridSpan w:val="2"/>
            <w:tcBorders>
              <w:top w:val="single" w:sz="4" w:space="0" w:color="auto"/>
              <w:left w:val="single" w:sz="4" w:space="0" w:color="auto"/>
              <w:bottom w:val="single" w:sz="4" w:space="0" w:color="auto"/>
              <w:right w:val="single" w:sz="4" w:space="0" w:color="auto"/>
            </w:tcBorders>
          </w:tcPr>
          <w:p w14:paraId="64E00D85" w14:textId="77777777" w:rsidR="00ED5860" w:rsidRPr="005E72B2" w:rsidRDefault="004E61B7" w:rsidP="00BF0497">
            <w:r>
              <w:t xml:space="preserve">Appendix A – Supported Accommodation for City Use 2018/19 </w:t>
            </w:r>
            <w:r w:rsidR="00BF0497">
              <w:t>to</w:t>
            </w:r>
            <w:r>
              <w:t xml:space="preserve"> 20</w:t>
            </w:r>
            <w:r w:rsidR="00BF0497">
              <w:t>20</w:t>
            </w:r>
            <w:r>
              <w:t>/2</w:t>
            </w:r>
            <w:r w:rsidR="00BF0497">
              <w:t>1</w:t>
            </w:r>
          </w:p>
        </w:tc>
      </w:tr>
      <w:tr w:rsidR="004E61B7" w:rsidRPr="00975B07" w14:paraId="2C6DA626" w14:textId="77777777" w:rsidTr="001E11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14:paraId="24A767C6" w14:textId="77777777" w:rsidR="00A92A18" w:rsidRDefault="00A92A18" w:rsidP="00A92A18">
            <w:pPr>
              <w:spacing w:before="60" w:after="60"/>
            </w:pPr>
            <w:r w:rsidRPr="005E72B2">
              <w:t>Appendix B</w:t>
            </w:r>
          </w:p>
          <w:p w14:paraId="4544DCB1" w14:textId="77777777" w:rsidR="004E61B7" w:rsidRPr="005E72B2" w:rsidRDefault="004E61B7" w:rsidP="005E72B2">
            <w:pPr>
              <w:spacing w:before="60" w:after="60"/>
            </w:pPr>
          </w:p>
        </w:tc>
        <w:tc>
          <w:tcPr>
            <w:tcW w:w="7144" w:type="dxa"/>
            <w:gridSpan w:val="2"/>
            <w:tcBorders>
              <w:top w:val="single" w:sz="4" w:space="0" w:color="auto"/>
              <w:left w:val="single" w:sz="4" w:space="0" w:color="auto"/>
              <w:bottom w:val="single" w:sz="4" w:space="0" w:color="auto"/>
              <w:right w:val="single" w:sz="4" w:space="0" w:color="auto"/>
            </w:tcBorders>
          </w:tcPr>
          <w:p w14:paraId="7DD340E6" w14:textId="77777777" w:rsidR="004E61B7" w:rsidRPr="005E72B2" w:rsidRDefault="004E61B7" w:rsidP="005E72B2">
            <w:pPr>
              <w:spacing w:before="60" w:after="60"/>
            </w:pPr>
            <w:r w:rsidRPr="005E72B2">
              <w:t>Strategic priorities for meeting the needs of vulnerable people and rough sleepers [Extract from the Council’s Housing &amp; Homelessness Strategy 2018-21]</w:t>
            </w:r>
          </w:p>
        </w:tc>
      </w:tr>
      <w:tr w:rsidR="00A92A18" w:rsidRPr="00975B07" w14:paraId="71B9C2BD" w14:textId="77777777" w:rsidTr="001E11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14:paraId="058BDD8B" w14:textId="77777777" w:rsidR="00A92A18" w:rsidRDefault="00A92A18" w:rsidP="005E72B2">
            <w:pPr>
              <w:spacing w:before="60" w:after="60"/>
            </w:pPr>
            <w:r>
              <w:t>Appendix C</w:t>
            </w:r>
          </w:p>
        </w:tc>
        <w:tc>
          <w:tcPr>
            <w:tcW w:w="7144" w:type="dxa"/>
            <w:gridSpan w:val="2"/>
            <w:tcBorders>
              <w:top w:val="single" w:sz="4" w:space="0" w:color="auto"/>
              <w:left w:val="single" w:sz="4" w:space="0" w:color="auto"/>
              <w:bottom w:val="single" w:sz="4" w:space="0" w:color="auto"/>
              <w:right w:val="single" w:sz="4" w:space="0" w:color="auto"/>
            </w:tcBorders>
          </w:tcPr>
          <w:p w14:paraId="61BED9E3" w14:textId="77777777" w:rsidR="00A92A18" w:rsidRPr="005E72B2" w:rsidRDefault="00A92A18" w:rsidP="00BF0497">
            <w:pPr>
              <w:spacing w:before="60" w:after="60"/>
            </w:pPr>
            <w:r w:rsidRPr="005E72B2">
              <w:t>Commitments and year end forecast 201</w:t>
            </w:r>
            <w:r>
              <w:t>9</w:t>
            </w:r>
            <w:r w:rsidR="00BF0497">
              <w:t>/20</w:t>
            </w:r>
          </w:p>
        </w:tc>
      </w:tr>
      <w:tr w:rsidR="00632045" w:rsidRPr="00975B07" w14:paraId="3B9535F8" w14:textId="77777777" w:rsidTr="001E11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14:paraId="7E70AE5D" w14:textId="77777777" w:rsidR="00632045" w:rsidRDefault="00632045" w:rsidP="005E72B2">
            <w:pPr>
              <w:spacing w:before="60" w:after="60"/>
            </w:pPr>
            <w:r>
              <w:t>Appendix D</w:t>
            </w:r>
          </w:p>
        </w:tc>
        <w:tc>
          <w:tcPr>
            <w:tcW w:w="7144" w:type="dxa"/>
            <w:gridSpan w:val="2"/>
            <w:tcBorders>
              <w:top w:val="single" w:sz="4" w:space="0" w:color="auto"/>
              <w:left w:val="single" w:sz="4" w:space="0" w:color="auto"/>
              <w:bottom w:val="single" w:sz="4" w:space="0" w:color="auto"/>
              <w:right w:val="single" w:sz="4" w:space="0" w:color="auto"/>
            </w:tcBorders>
          </w:tcPr>
          <w:p w14:paraId="43DE2098" w14:textId="77777777" w:rsidR="00632045" w:rsidRDefault="00632045" w:rsidP="00BF0497">
            <w:pPr>
              <w:spacing w:before="60" w:after="60"/>
            </w:pPr>
            <w:r>
              <w:t>Proposed allocations 2020</w:t>
            </w:r>
            <w:r w:rsidR="00BF0497">
              <w:t>/21</w:t>
            </w:r>
          </w:p>
        </w:tc>
      </w:tr>
      <w:tr w:rsidR="001E11DA" w:rsidRPr="00975B07" w14:paraId="0629DAE3" w14:textId="77777777" w:rsidTr="001E11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14:paraId="66444142" w14:textId="77777777" w:rsidR="001E11DA" w:rsidRDefault="001E11DA" w:rsidP="001E11DA">
            <w:pPr>
              <w:spacing w:before="60" w:after="60"/>
            </w:pPr>
            <w:r>
              <w:t>Appendix E</w:t>
            </w:r>
          </w:p>
        </w:tc>
        <w:tc>
          <w:tcPr>
            <w:tcW w:w="7144" w:type="dxa"/>
            <w:gridSpan w:val="2"/>
            <w:tcBorders>
              <w:top w:val="single" w:sz="4" w:space="0" w:color="auto"/>
              <w:left w:val="single" w:sz="4" w:space="0" w:color="auto"/>
              <w:bottom w:val="single" w:sz="4" w:space="0" w:color="auto"/>
              <w:right w:val="single" w:sz="4" w:space="0" w:color="auto"/>
            </w:tcBorders>
          </w:tcPr>
          <w:p w14:paraId="63887CD5" w14:textId="77777777" w:rsidR="001E11DA" w:rsidRDefault="001E11DA" w:rsidP="001E11DA">
            <w:pPr>
              <w:spacing w:before="60" w:after="60"/>
            </w:pPr>
            <w:r>
              <w:t>Risk assessment</w:t>
            </w:r>
          </w:p>
        </w:tc>
      </w:tr>
    </w:tbl>
    <w:p w14:paraId="0EBEF256" w14:textId="77777777" w:rsidR="004B00A5" w:rsidRDefault="004B00A5" w:rsidP="004B00A5">
      <w:pPr>
        <w:pStyle w:val="Heading1"/>
        <w:numPr>
          <w:ilvl w:val="0"/>
          <w:numId w:val="0"/>
        </w:numPr>
        <w:spacing w:before="0"/>
      </w:pPr>
    </w:p>
    <w:p w14:paraId="4E6385BD" w14:textId="77777777" w:rsidR="001E11DA" w:rsidRPr="001E11DA" w:rsidRDefault="001E11DA" w:rsidP="001E11DA"/>
    <w:p w14:paraId="5B0E7BD9" w14:textId="77777777" w:rsidR="00BF0497" w:rsidRPr="00BF0497" w:rsidRDefault="00BF0497" w:rsidP="00BF0497"/>
    <w:p w14:paraId="55B22C04" w14:textId="77777777" w:rsidR="007B5646" w:rsidRDefault="00F66DCA" w:rsidP="00941CD8">
      <w:pPr>
        <w:pStyle w:val="Heading1"/>
        <w:numPr>
          <w:ilvl w:val="0"/>
          <w:numId w:val="0"/>
        </w:numPr>
      </w:pPr>
      <w:r w:rsidRPr="001356F1">
        <w:lastRenderedPageBreak/>
        <w:t>Introduction and b</w:t>
      </w:r>
      <w:r w:rsidR="00151888" w:rsidRPr="001356F1">
        <w:t>ackground</w:t>
      </w:r>
      <w:r w:rsidR="00404032" w:rsidRPr="001356F1">
        <w:t xml:space="preserve"> </w:t>
      </w:r>
    </w:p>
    <w:p w14:paraId="2F4F7CC8" w14:textId="6C19F3C5" w:rsidR="00B30112" w:rsidRDefault="002660AD" w:rsidP="00B93809">
      <w:pPr>
        <w:pStyle w:val="ListParagraph"/>
        <w:numPr>
          <w:ilvl w:val="0"/>
          <w:numId w:val="7"/>
        </w:numPr>
      </w:pPr>
      <w:r>
        <w:t xml:space="preserve">This report presents an overview of </w:t>
      </w:r>
      <w:r w:rsidR="00EB0BFC">
        <w:t xml:space="preserve">how </w:t>
      </w:r>
      <w:r>
        <w:t xml:space="preserve">the funding </w:t>
      </w:r>
      <w:r w:rsidR="0004600D">
        <w:t>allocated in</w:t>
      </w:r>
      <w:r>
        <w:t xml:space="preserve"> 201</w:t>
      </w:r>
      <w:r w:rsidR="003779D5">
        <w:t>9</w:t>
      </w:r>
      <w:r>
        <w:t>/</w:t>
      </w:r>
      <w:r w:rsidR="003779D5">
        <w:t>20</w:t>
      </w:r>
      <w:r w:rsidR="00EB0BFC">
        <w:t xml:space="preserve"> has been spent</w:t>
      </w:r>
      <w:r>
        <w:t xml:space="preserve"> and</w:t>
      </w:r>
      <w:r w:rsidR="009C5C86">
        <w:t xml:space="preserve"> makes recommendations for</w:t>
      </w:r>
      <w:r>
        <w:t xml:space="preserve"> </w:t>
      </w:r>
      <w:r w:rsidR="00EB0BFC">
        <w:t xml:space="preserve">the </w:t>
      </w:r>
      <w:r w:rsidR="007A3BAB">
        <w:t xml:space="preserve">allocation of </w:t>
      </w:r>
      <w:r w:rsidR="00EB0BFC">
        <w:t xml:space="preserve">funding </w:t>
      </w:r>
      <w:r w:rsidR="003779D5">
        <w:t>in 2020/21</w:t>
      </w:r>
      <w:r>
        <w:t xml:space="preserve"> to provide services for rough sleepers and single homeless people in Oxford</w:t>
      </w:r>
      <w:r w:rsidR="003779D5">
        <w:t>, set in the context of the Council’s broader investment in services for all people at risk of or experiencing homelessness</w:t>
      </w:r>
      <w:r>
        <w:t xml:space="preserve">. </w:t>
      </w:r>
    </w:p>
    <w:p w14:paraId="1772CAA4" w14:textId="77777777" w:rsidR="007A3BAB" w:rsidRDefault="00B30112" w:rsidP="00B93809">
      <w:pPr>
        <w:pStyle w:val="ListParagraph"/>
        <w:numPr>
          <w:ilvl w:val="0"/>
          <w:numId w:val="7"/>
        </w:numPr>
      </w:pPr>
      <w:r>
        <w:t>The report also provides an update on development</w:t>
      </w:r>
      <w:r w:rsidR="00981167">
        <w:t>s</w:t>
      </w:r>
      <w:r>
        <w:t xml:space="preserve"> in </w:t>
      </w:r>
      <w:r w:rsidR="003779D5">
        <w:t xml:space="preserve">2019/20 </w:t>
      </w:r>
      <w:r>
        <w:t>including the number of people known to be sleeping rough</w:t>
      </w:r>
      <w:r w:rsidR="003779D5">
        <w:t xml:space="preserve">, progress towards the development of a countywide strategy for rough sleeping and single homelessness, and on external </w:t>
      </w:r>
      <w:r>
        <w:t xml:space="preserve">funding </w:t>
      </w:r>
      <w:r w:rsidR="003779D5">
        <w:t>sought and secured towards the development of services and support for single homeless people.</w:t>
      </w:r>
      <w:r w:rsidR="009F4839">
        <w:t xml:space="preserve"> </w:t>
      </w:r>
    </w:p>
    <w:p w14:paraId="29D4C215" w14:textId="77777777" w:rsidR="00B30112" w:rsidRDefault="00B30112" w:rsidP="00B93809">
      <w:pPr>
        <w:pStyle w:val="ListParagraph"/>
        <w:numPr>
          <w:ilvl w:val="0"/>
          <w:numId w:val="7"/>
        </w:numPr>
      </w:pPr>
      <w:r>
        <w:t>Finally, the report highlights some of the opportunities and challenges that lie ahead.</w:t>
      </w:r>
    </w:p>
    <w:p w14:paraId="62266490" w14:textId="77777777" w:rsidR="00B30112" w:rsidRDefault="00B30112" w:rsidP="00B30112">
      <w:pPr>
        <w:pStyle w:val="Heading1"/>
        <w:numPr>
          <w:ilvl w:val="0"/>
          <w:numId w:val="0"/>
        </w:numPr>
        <w:ind w:left="432" w:hanging="432"/>
      </w:pPr>
      <w:r>
        <w:t>Context and key developments 201</w:t>
      </w:r>
      <w:r w:rsidR="003779D5">
        <w:t>9</w:t>
      </w:r>
      <w:r>
        <w:t>/</w:t>
      </w:r>
      <w:r w:rsidR="003779D5">
        <w:t>20</w:t>
      </w:r>
    </w:p>
    <w:p w14:paraId="75ECC658" w14:textId="77777777" w:rsidR="00B30112" w:rsidRPr="00CF26D2" w:rsidRDefault="00B30112" w:rsidP="00CF26D2">
      <w:pPr>
        <w:pStyle w:val="Heading1"/>
        <w:numPr>
          <w:ilvl w:val="0"/>
          <w:numId w:val="0"/>
        </w:numPr>
        <w:rPr>
          <w:b w:val="0"/>
          <w:u w:val="single"/>
        </w:rPr>
      </w:pPr>
      <w:r w:rsidRPr="00CF26D2">
        <w:rPr>
          <w:b w:val="0"/>
          <w:u w:val="single"/>
        </w:rPr>
        <w:t>Number of people sleeping rough remains high</w:t>
      </w:r>
    </w:p>
    <w:p w14:paraId="17821C9A" w14:textId="295C1209" w:rsidR="009F4839" w:rsidRPr="009F4839" w:rsidRDefault="003D27E9" w:rsidP="00B93809">
      <w:pPr>
        <w:pStyle w:val="ListParagraph"/>
        <w:numPr>
          <w:ilvl w:val="0"/>
          <w:numId w:val="7"/>
        </w:numPr>
      </w:pPr>
      <w:r>
        <w:t>Despite progress being made to reduce numbers r</w:t>
      </w:r>
      <w:r w:rsidR="009F4839" w:rsidRPr="009F4839">
        <w:t xml:space="preserve">ough sleeping continues to be a significant issue in the City, with high numbers of rough sleepers being </w:t>
      </w:r>
      <w:r w:rsidR="009F4839">
        <w:t>identifi</w:t>
      </w:r>
      <w:r w:rsidR="009F4839" w:rsidRPr="009F4839">
        <w:t xml:space="preserve">ed by </w:t>
      </w:r>
      <w:r w:rsidR="009F4839">
        <w:t xml:space="preserve">the </w:t>
      </w:r>
      <w:r w:rsidR="009F4839" w:rsidRPr="009F4839">
        <w:t>Oxford Street Population Outreach Team (</w:t>
      </w:r>
      <w:proofErr w:type="spellStart"/>
      <w:r w:rsidR="009F4839" w:rsidRPr="009F4839">
        <w:t>OxSPOT</w:t>
      </w:r>
      <w:proofErr w:type="spellEnd"/>
      <w:r w:rsidR="009F4839" w:rsidRPr="009F4839">
        <w:t>) each month</w:t>
      </w:r>
      <w:r w:rsidR="009F4839">
        <w:t xml:space="preserve">. </w:t>
      </w:r>
      <w:r w:rsidR="009F4839" w:rsidRPr="009F4839">
        <w:t>75 people were seen rough sleeping in October 2019 and 59 in November 2019. However these are significant reductions on the corresponding numbers from 2018: 105 October (29% reduction in 2019) and 115 November (49% reduction in 2019)</w:t>
      </w:r>
    </w:p>
    <w:p w14:paraId="758FF285" w14:textId="77777777" w:rsidR="009F4839" w:rsidRPr="009F4839" w:rsidRDefault="009F4839" w:rsidP="00B93809">
      <w:pPr>
        <w:pStyle w:val="ListParagraph"/>
        <w:numPr>
          <w:ilvl w:val="0"/>
          <w:numId w:val="7"/>
        </w:numPr>
      </w:pPr>
      <w:r w:rsidRPr="009F4839">
        <w:t xml:space="preserve">The Council’s official street count in November 2019 was 43, a slight decrease from the total of 45 recorded in November 2018. </w:t>
      </w:r>
    </w:p>
    <w:p w14:paraId="2E57C976" w14:textId="6DC363EC" w:rsidR="009F4839" w:rsidRPr="009F4839" w:rsidRDefault="009F4839" w:rsidP="00B93809">
      <w:pPr>
        <w:pStyle w:val="ListParagraph"/>
        <w:numPr>
          <w:ilvl w:val="0"/>
          <w:numId w:val="7"/>
        </w:numPr>
      </w:pPr>
      <w:r w:rsidRPr="009F4839">
        <w:t xml:space="preserve">The Council also carries out an estimate of the number of people sleeping rough in the City. Oxford’s most recent </w:t>
      </w:r>
      <w:r w:rsidR="003B6B56" w:rsidRPr="009F4839">
        <w:t>estimate</w:t>
      </w:r>
      <w:r w:rsidR="003B6B56">
        <w:t>,</w:t>
      </w:r>
      <w:r w:rsidR="003B6B56" w:rsidRPr="009F4839">
        <w:t xml:space="preserve"> also</w:t>
      </w:r>
      <w:r w:rsidRPr="009F4839">
        <w:t xml:space="preserve"> carried out</w:t>
      </w:r>
      <w:r w:rsidR="009C5C86">
        <w:t xml:space="preserve"> in</w:t>
      </w:r>
      <w:r w:rsidRPr="009F4839">
        <w:t xml:space="preserve"> November 2019</w:t>
      </w:r>
      <w:r w:rsidR="003D27E9">
        <w:t>,</w:t>
      </w:r>
      <w:r w:rsidRPr="009F4839">
        <w:t xml:space="preserve"> showed a large decrease from 94 (2018) to 62</w:t>
      </w:r>
      <w:r w:rsidR="003D27E9">
        <w:t>.</w:t>
      </w:r>
      <w:r w:rsidRPr="009F4839">
        <w:t xml:space="preserve"> Estimates tend to give a higher figure than street counts because they draw upon a wider range of data sources. These include information from </w:t>
      </w:r>
      <w:proofErr w:type="spellStart"/>
      <w:r>
        <w:t>OxSPOT</w:t>
      </w:r>
      <w:proofErr w:type="spellEnd"/>
      <w:r w:rsidRPr="009F4839">
        <w:t>,</w:t>
      </w:r>
      <w:r>
        <w:t xml:space="preserve"> Thames Valley Police,</w:t>
      </w:r>
      <w:r w:rsidRPr="009F4839">
        <w:t xml:space="preserve"> service providers and</w:t>
      </w:r>
      <w:r>
        <w:t xml:space="preserve"> other</w:t>
      </w:r>
      <w:r w:rsidRPr="009F4839">
        <w:t xml:space="preserve"> teams within the Council.</w:t>
      </w:r>
    </w:p>
    <w:p w14:paraId="78D87221" w14:textId="77777777" w:rsidR="009F4839" w:rsidRPr="009F4839" w:rsidRDefault="009F4839" w:rsidP="00B93809">
      <w:pPr>
        <w:pStyle w:val="ListParagraph"/>
        <w:numPr>
          <w:ilvl w:val="0"/>
          <w:numId w:val="7"/>
        </w:numPr>
      </w:pPr>
      <w:r w:rsidRPr="009F4839">
        <w:t xml:space="preserve">The Council provides an estimate in addition to street count data in order to make comparisons with the other Oxfordshire districts, which only undertake estimates rather than street counts. This is due to the mostly rural nature of the districts. </w:t>
      </w:r>
    </w:p>
    <w:p w14:paraId="229F5A05" w14:textId="77777777" w:rsidR="009F4839" w:rsidRPr="009F4839" w:rsidRDefault="009F4839" w:rsidP="00B93809">
      <w:pPr>
        <w:pStyle w:val="ListParagraph"/>
        <w:numPr>
          <w:ilvl w:val="0"/>
          <w:numId w:val="7"/>
        </w:numPr>
      </w:pPr>
      <w:r w:rsidRPr="009F4839">
        <w:t>The difference between the street count and estimate figures reflects the different methodologies used. For example, whilst the street count is necessarily limited by the number of people that are counted within the 4 hour period of the count, the intelligence-based estimate is based on the knowledge of multiple agencies which engage with many more individuals than can be counted within this time</w:t>
      </w:r>
    </w:p>
    <w:p w14:paraId="6B9EDD42" w14:textId="5263C1A1" w:rsidR="009F4839" w:rsidRDefault="009F4839" w:rsidP="00B93809">
      <w:pPr>
        <w:pStyle w:val="ListParagraph"/>
        <w:numPr>
          <w:ilvl w:val="0"/>
          <w:numId w:val="7"/>
        </w:numPr>
      </w:pPr>
      <w:r w:rsidRPr="009F4839">
        <w:t>Both Oxford City’s street count and estimate continue to show that a significant proportion</w:t>
      </w:r>
      <w:r w:rsidR="003D27E9">
        <w:t xml:space="preserve"> (70%)</w:t>
      </w:r>
      <w:r w:rsidRPr="009F4839">
        <w:t xml:space="preserve"> of people sleeping rough in Oxford do not have a local connection to the City</w:t>
      </w:r>
      <w:r w:rsidR="003D27E9">
        <w:t>.</w:t>
      </w:r>
      <w:r w:rsidRPr="009F4839">
        <w:t xml:space="preserve"> </w:t>
      </w:r>
      <w:r w:rsidR="003D27E9">
        <w:t>However</w:t>
      </w:r>
      <w:r w:rsidRPr="009F4839">
        <w:t xml:space="preserve"> the connection status of several individuals is unknown, or is currently being investigated by </w:t>
      </w:r>
      <w:proofErr w:type="spellStart"/>
      <w:r w:rsidRPr="009F4839">
        <w:t>OxSPOT</w:t>
      </w:r>
      <w:proofErr w:type="spellEnd"/>
      <w:r w:rsidRPr="009F4839">
        <w:t>.</w:t>
      </w:r>
    </w:p>
    <w:p w14:paraId="35641C31" w14:textId="77777777" w:rsidR="00303851" w:rsidRDefault="009F4839" w:rsidP="00B93809">
      <w:pPr>
        <w:pStyle w:val="ListParagraph"/>
        <w:numPr>
          <w:ilvl w:val="0"/>
          <w:numId w:val="7"/>
        </w:numPr>
      </w:pPr>
      <w:r w:rsidRPr="009F4839">
        <w:t xml:space="preserve"> </w:t>
      </w:r>
      <w:r w:rsidR="00303851">
        <w:t xml:space="preserve">The table below summarises the findings of the November 2019 </w:t>
      </w:r>
      <w:r w:rsidR="00303851" w:rsidRPr="00303851">
        <w:t xml:space="preserve">Oxford City </w:t>
      </w:r>
      <w:r w:rsidR="00303851">
        <w:t>street count and estimate with regard to local connection status.</w:t>
      </w:r>
    </w:p>
    <w:p w14:paraId="5D8CFB83" w14:textId="77777777" w:rsidR="00303851" w:rsidRPr="00303851" w:rsidRDefault="00303851" w:rsidP="00303851">
      <w:pPr>
        <w:pStyle w:val="ListParagraph"/>
        <w:numPr>
          <w:ilvl w:val="0"/>
          <w:numId w:val="0"/>
        </w:numPr>
        <w:ind w:left="360"/>
      </w:pPr>
    </w:p>
    <w:tbl>
      <w:tblPr>
        <w:tblW w:w="0" w:type="auto"/>
        <w:tblInd w:w="416" w:type="dxa"/>
        <w:tblCellMar>
          <w:left w:w="0" w:type="dxa"/>
          <w:right w:w="0" w:type="dxa"/>
        </w:tblCellMar>
        <w:tblLook w:val="04A0" w:firstRow="1" w:lastRow="0" w:firstColumn="1" w:lastColumn="0" w:noHBand="0" w:noVBand="1"/>
      </w:tblPr>
      <w:tblGrid>
        <w:gridCol w:w="3768"/>
        <w:gridCol w:w="1335"/>
        <w:gridCol w:w="1212"/>
        <w:gridCol w:w="1430"/>
        <w:gridCol w:w="1117"/>
      </w:tblGrid>
      <w:tr w:rsidR="00303851" w14:paraId="5ABA2469" w14:textId="77777777" w:rsidTr="00303851">
        <w:trPr>
          <w:trHeight w:val="370"/>
        </w:trPr>
        <w:tc>
          <w:tcPr>
            <w:tcW w:w="3768" w:type="dxa"/>
            <w:vMerge w:val="restart"/>
            <w:tcBorders>
              <w:top w:val="single" w:sz="8" w:space="0" w:color="auto"/>
              <w:left w:val="single" w:sz="8" w:space="0" w:color="auto"/>
              <w:bottom w:val="single" w:sz="8" w:space="0" w:color="auto"/>
              <w:right w:val="single" w:sz="8" w:space="0" w:color="auto"/>
            </w:tcBorders>
            <w:shd w:val="clear" w:color="auto" w:fill="323E4F"/>
            <w:tcMar>
              <w:top w:w="0" w:type="dxa"/>
              <w:left w:w="108" w:type="dxa"/>
              <w:bottom w:w="0" w:type="dxa"/>
              <w:right w:w="108" w:type="dxa"/>
            </w:tcMar>
            <w:vAlign w:val="center"/>
            <w:hideMark/>
          </w:tcPr>
          <w:p w14:paraId="5C9A4D9B" w14:textId="77777777" w:rsidR="00303851" w:rsidRDefault="00303851">
            <w:pPr>
              <w:rPr>
                <w:b/>
                <w:bCs/>
                <w:color w:val="FFFFFF"/>
              </w:rPr>
            </w:pPr>
            <w:r>
              <w:rPr>
                <w:b/>
                <w:bCs/>
                <w:color w:val="FFFFFF"/>
              </w:rPr>
              <w:lastRenderedPageBreak/>
              <w:t>Local Connection</w:t>
            </w:r>
          </w:p>
        </w:tc>
        <w:tc>
          <w:tcPr>
            <w:tcW w:w="2547" w:type="dxa"/>
            <w:gridSpan w:val="2"/>
            <w:tcBorders>
              <w:top w:val="single" w:sz="8" w:space="0" w:color="auto"/>
              <w:left w:val="nil"/>
              <w:bottom w:val="single" w:sz="8" w:space="0" w:color="auto"/>
              <w:right w:val="single" w:sz="8" w:space="0" w:color="auto"/>
            </w:tcBorders>
            <w:shd w:val="clear" w:color="auto" w:fill="323E4F"/>
            <w:tcMar>
              <w:top w:w="0" w:type="dxa"/>
              <w:left w:w="108" w:type="dxa"/>
              <w:bottom w:w="0" w:type="dxa"/>
              <w:right w:w="108" w:type="dxa"/>
            </w:tcMar>
            <w:vAlign w:val="center"/>
            <w:hideMark/>
          </w:tcPr>
          <w:p w14:paraId="26A009ED" w14:textId="77777777" w:rsidR="00303851" w:rsidRDefault="00303851">
            <w:pPr>
              <w:rPr>
                <w:b/>
                <w:bCs/>
                <w:color w:val="FFFFFF"/>
              </w:rPr>
            </w:pPr>
            <w:r>
              <w:rPr>
                <w:b/>
                <w:bCs/>
                <w:color w:val="FFFFFF"/>
              </w:rPr>
              <w:t>Street Count Nov-19</w:t>
            </w:r>
          </w:p>
        </w:tc>
        <w:tc>
          <w:tcPr>
            <w:tcW w:w="2547" w:type="dxa"/>
            <w:gridSpan w:val="2"/>
            <w:tcBorders>
              <w:top w:val="single" w:sz="8" w:space="0" w:color="auto"/>
              <w:left w:val="nil"/>
              <w:bottom w:val="single" w:sz="8" w:space="0" w:color="auto"/>
              <w:right w:val="single" w:sz="8" w:space="0" w:color="auto"/>
            </w:tcBorders>
            <w:shd w:val="clear" w:color="auto" w:fill="323E4F"/>
            <w:tcMar>
              <w:top w:w="0" w:type="dxa"/>
              <w:left w:w="108" w:type="dxa"/>
              <w:bottom w:w="0" w:type="dxa"/>
              <w:right w:w="108" w:type="dxa"/>
            </w:tcMar>
            <w:vAlign w:val="center"/>
            <w:hideMark/>
          </w:tcPr>
          <w:p w14:paraId="64A9A209" w14:textId="77777777" w:rsidR="00303851" w:rsidRDefault="00303851">
            <w:pPr>
              <w:rPr>
                <w:b/>
                <w:bCs/>
                <w:color w:val="FFFFFF"/>
              </w:rPr>
            </w:pPr>
            <w:r>
              <w:rPr>
                <w:b/>
                <w:bCs/>
                <w:color w:val="FFFFFF"/>
              </w:rPr>
              <w:t>Estimate Nov-19</w:t>
            </w:r>
          </w:p>
        </w:tc>
      </w:tr>
      <w:tr w:rsidR="00303851" w14:paraId="58668017" w14:textId="77777777" w:rsidTr="00303851">
        <w:trPr>
          <w:trHeight w:val="371"/>
        </w:trPr>
        <w:tc>
          <w:tcPr>
            <w:tcW w:w="0" w:type="auto"/>
            <w:vMerge/>
            <w:tcBorders>
              <w:top w:val="single" w:sz="8" w:space="0" w:color="auto"/>
              <w:left w:val="single" w:sz="8" w:space="0" w:color="auto"/>
              <w:bottom w:val="single" w:sz="8" w:space="0" w:color="auto"/>
              <w:right w:val="single" w:sz="8" w:space="0" w:color="auto"/>
            </w:tcBorders>
            <w:vAlign w:val="center"/>
            <w:hideMark/>
          </w:tcPr>
          <w:p w14:paraId="3213B4A0" w14:textId="77777777" w:rsidR="00303851" w:rsidRDefault="00303851">
            <w:pPr>
              <w:rPr>
                <w:rFonts w:ascii="Calibri" w:eastAsiaTheme="minorHAnsi" w:hAnsi="Calibri" w:cs="Calibri"/>
                <w:b/>
                <w:bCs/>
                <w:color w:val="FFFFFF"/>
                <w:sz w:val="22"/>
                <w:szCs w:val="22"/>
                <w:lang w:eastAsia="en-US"/>
              </w:rPr>
            </w:pPr>
          </w:p>
        </w:tc>
        <w:tc>
          <w:tcPr>
            <w:tcW w:w="1335" w:type="dxa"/>
            <w:tcBorders>
              <w:top w:val="nil"/>
              <w:left w:val="nil"/>
              <w:bottom w:val="single" w:sz="8" w:space="0" w:color="auto"/>
              <w:right w:val="single" w:sz="8" w:space="0" w:color="auto"/>
            </w:tcBorders>
            <w:shd w:val="clear" w:color="auto" w:fill="323E4F"/>
            <w:tcMar>
              <w:top w:w="0" w:type="dxa"/>
              <w:left w:w="108" w:type="dxa"/>
              <w:bottom w:w="0" w:type="dxa"/>
              <w:right w:w="108" w:type="dxa"/>
            </w:tcMar>
            <w:vAlign w:val="center"/>
            <w:hideMark/>
          </w:tcPr>
          <w:p w14:paraId="390527DB" w14:textId="77777777" w:rsidR="00303851" w:rsidRDefault="00303851">
            <w:pPr>
              <w:rPr>
                <w:b/>
                <w:bCs/>
                <w:color w:val="FFFFFF"/>
              </w:rPr>
            </w:pPr>
            <w:r>
              <w:rPr>
                <w:b/>
                <w:bCs/>
                <w:color w:val="FFFFFF"/>
              </w:rPr>
              <w:t>Number</w:t>
            </w:r>
          </w:p>
        </w:tc>
        <w:tc>
          <w:tcPr>
            <w:tcW w:w="1212" w:type="dxa"/>
            <w:tcBorders>
              <w:top w:val="nil"/>
              <w:left w:val="nil"/>
              <w:bottom w:val="single" w:sz="8" w:space="0" w:color="auto"/>
              <w:right w:val="single" w:sz="8" w:space="0" w:color="auto"/>
            </w:tcBorders>
            <w:shd w:val="clear" w:color="auto" w:fill="323E4F"/>
            <w:tcMar>
              <w:top w:w="0" w:type="dxa"/>
              <w:left w:w="108" w:type="dxa"/>
              <w:bottom w:w="0" w:type="dxa"/>
              <w:right w:w="108" w:type="dxa"/>
            </w:tcMar>
            <w:vAlign w:val="center"/>
            <w:hideMark/>
          </w:tcPr>
          <w:p w14:paraId="15D6CC36" w14:textId="77777777" w:rsidR="00303851" w:rsidRDefault="00303851">
            <w:pPr>
              <w:rPr>
                <w:b/>
                <w:bCs/>
                <w:color w:val="FFFFFF"/>
              </w:rPr>
            </w:pPr>
            <w:r>
              <w:rPr>
                <w:b/>
                <w:bCs/>
                <w:color w:val="FFFFFF"/>
              </w:rPr>
              <w:t>%</w:t>
            </w:r>
          </w:p>
        </w:tc>
        <w:tc>
          <w:tcPr>
            <w:tcW w:w="1430" w:type="dxa"/>
            <w:tcBorders>
              <w:top w:val="nil"/>
              <w:left w:val="nil"/>
              <w:bottom w:val="single" w:sz="8" w:space="0" w:color="auto"/>
              <w:right w:val="single" w:sz="8" w:space="0" w:color="auto"/>
            </w:tcBorders>
            <w:shd w:val="clear" w:color="auto" w:fill="323E4F"/>
            <w:tcMar>
              <w:top w:w="0" w:type="dxa"/>
              <w:left w:w="108" w:type="dxa"/>
              <w:bottom w:w="0" w:type="dxa"/>
              <w:right w:w="108" w:type="dxa"/>
            </w:tcMar>
            <w:vAlign w:val="center"/>
            <w:hideMark/>
          </w:tcPr>
          <w:p w14:paraId="6C64EA50" w14:textId="77777777" w:rsidR="00303851" w:rsidRDefault="00303851">
            <w:pPr>
              <w:rPr>
                <w:b/>
                <w:bCs/>
                <w:color w:val="FFFFFF"/>
              </w:rPr>
            </w:pPr>
            <w:r>
              <w:rPr>
                <w:b/>
                <w:bCs/>
                <w:color w:val="FFFFFF"/>
              </w:rPr>
              <w:t>Number</w:t>
            </w:r>
          </w:p>
        </w:tc>
        <w:tc>
          <w:tcPr>
            <w:tcW w:w="1117" w:type="dxa"/>
            <w:tcBorders>
              <w:top w:val="nil"/>
              <w:left w:val="nil"/>
              <w:bottom w:val="single" w:sz="8" w:space="0" w:color="auto"/>
              <w:right w:val="single" w:sz="8" w:space="0" w:color="auto"/>
            </w:tcBorders>
            <w:shd w:val="clear" w:color="auto" w:fill="323E4F"/>
            <w:tcMar>
              <w:top w:w="0" w:type="dxa"/>
              <w:left w:w="108" w:type="dxa"/>
              <w:bottom w:w="0" w:type="dxa"/>
              <w:right w:w="108" w:type="dxa"/>
            </w:tcMar>
            <w:vAlign w:val="center"/>
            <w:hideMark/>
          </w:tcPr>
          <w:p w14:paraId="767DEFD4" w14:textId="77777777" w:rsidR="00303851" w:rsidRDefault="00303851">
            <w:pPr>
              <w:rPr>
                <w:b/>
                <w:bCs/>
                <w:color w:val="FFFFFF"/>
              </w:rPr>
            </w:pPr>
            <w:r>
              <w:rPr>
                <w:b/>
                <w:bCs/>
                <w:color w:val="FFFFFF"/>
              </w:rPr>
              <w:t>%</w:t>
            </w:r>
          </w:p>
        </w:tc>
      </w:tr>
      <w:tr w:rsidR="00303851" w14:paraId="453060C7" w14:textId="77777777" w:rsidTr="00303851">
        <w:trPr>
          <w:trHeight w:val="371"/>
        </w:trPr>
        <w:tc>
          <w:tcPr>
            <w:tcW w:w="37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F4CD7BB" w14:textId="77777777" w:rsidR="00303851" w:rsidRDefault="00303851">
            <w:r>
              <w:t>Oxford City</w:t>
            </w:r>
          </w:p>
        </w:tc>
        <w:tc>
          <w:tcPr>
            <w:tcW w:w="13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1FD17EB" w14:textId="77777777" w:rsidR="00303851" w:rsidRDefault="00303851">
            <w:pPr>
              <w:rPr>
                <w:color w:val="auto"/>
              </w:rPr>
            </w:pPr>
            <w:r>
              <w:t>13</w:t>
            </w:r>
          </w:p>
        </w:tc>
        <w:tc>
          <w:tcPr>
            <w:tcW w:w="12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58B7D4C" w14:textId="77777777" w:rsidR="00303851" w:rsidRDefault="00303851">
            <w:r>
              <w:t>30</w:t>
            </w:r>
          </w:p>
        </w:tc>
        <w:tc>
          <w:tcPr>
            <w:tcW w:w="14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35287E1" w14:textId="77777777" w:rsidR="00303851" w:rsidRDefault="00303851">
            <w:r>
              <w:t>20</w:t>
            </w:r>
          </w:p>
        </w:tc>
        <w:tc>
          <w:tcPr>
            <w:tcW w:w="11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0339037" w14:textId="77777777" w:rsidR="00303851" w:rsidRDefault="00303851">
            <w:r>
              <w:t>32</w:t>
            </w:r>
          </w:p>
        </w:tc>
      </w:tr>
      <w:tr w:rsidR="00303851" w14:paraId="49F5F754" w14:textId="77777777" w:rsidTr="00303851">
        <w:trPr>
          <w:trHeight w:val="371"/>
        </w:trPr>
        <w:tc>
          <w:tcPr>
            <w:tcW w:w="37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BFD811D" w14:textId="77777777" w:rsidR="00303851" w:rsidRDefault="00303851">
            <w:r>
              <w:t>Other Oxfordshire District</w:t>
            </w:r>
          </w:p>
        </w:tc>
        <w:tc>
          <w:tcPr>
            <w:tcW w:w="13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74F3908" w14:textId="77777777" w:rsidR="00303851" w:rsidRDefault="00303851">
            <w:r>
              <w:t>6</w:t>
            </w:r>
          </w:p>
        </w:tc>
        <w:tc>
          <w:tcPr>
            <w:tcW w:w="12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54BDFB8" w14:textId="77777777" w:rsidR="00303851" w:rsidRDefault="00303851">
            <w:r>
              <w:t>14</w:t>
            </w:r>
          </w:p>
        </w:tc>
        <w:tc>
          <w:tcPr>
            <w:tcW w:w="14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AD25A67" w14:textId="77777777" w:rsidR="00303851" w:rsidRDefault="00303851">
            <w:r>
              <w:t>10</w:t>
            </w:r>
          </w:p>
        </w:tc>
        <w:tc>
          <w:tcPr>
            <w:tcW w:w="11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2E302FA" w14:textId="77777777" w:rsidR="00303851" w:rsidRDefault="00303851">
            <w:r>
              <w:t>16</w:t>
            </w:r>
          </w:p>
        </w:tc>
      </w:tr>
      <w:tr w:rsidR="00303851" w14:paraId="7BB30B19" w14:textId="77777777" w:rsidTr="00303851">
        <w:trPr>
          <w:trHeight w:val="371"/>
        </w:trPr>
        <w:tc>
          <w:tcPr>
            <w:tcW w:w="37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C1E286E" w14:textId="77777777" w:rsidR="00303851" w:rsidRDefault="00303851">
            <w:r>
              <w:t>Other UK District</w:t>
            </w:r>
          </w:p>
        </w:tc>
        <w:tc>
          <w:tcPr>
            <w:tcW w:w="13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C01F8C7" w14:textId="77777777" w:rsidR="00303851" w:rsidRDefault="00303851">
            <w:r>
              <w:t>2</w:t>
            </w:r>
          </w:p>
        </w:tc>
        <w:tc>
          <w:tcPr>
            <w:tcW w:w="12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2B1A4A9" w14:textId="77777777" w:rsidR="00303851" w:rsidRDefault="00303851">
            <w:r>
              <w:t>5</w:t>
            </w:r>
          </w:p>
        </w:tc>
        <w:tc>
          <w:tcPr>
            <w:tcW w:w="14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406D457" w14:textId="77777777" w:rsidR="00303851" w:rsidRDefault="00303851">
            <w:r>
              <w:t>2</w:t>
            </w:r>
          </w:p>
        </w:tc>
        <w:tc>
          <w:tcPr>
            <w:tcW w:w="11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50CEB7E" w14:textId="77777777" w:rsidR="00303851" w:rsidRDefault="00303851">
            <w:r>
              <w:t>3</w:t>
            </w:r>
          </w:p>
        </w:tc>
      </w:tr>
      <w:tr w:rsidR="00303851" w14:paraId="12E77CC2" w14:textId="77777777" w:rsidTr="00303851">
        <w:trPr>
          <w:trHeight w:val="371"/>
        </w:trPr>
        <w:tc>
          <w:tcPr>
            <w:tcW w:w="37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EBDC57B" w14:textId="77777777" w:rsidR="00303851" w:rsidRDefault="00303851">
            <w:r>
              <w:t>EU National with no LC / NRPF</w:t>
            </w:r>
          </w:p>
        </w:tc>
        <w:tc>
          <w:tcPr>
            <w:tcW w:w="13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14DBBD9" w14:textId="77777777" w:rsidR="00303851" w:rsidRDefault="00303851">
            <w:r>
              <w:t>5</w:t>
            </w:r>
          </w:p>
        </w:tc>
        <w:tc>
          <w:tcPr>
            <w:tcW w:w="12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E2C6E90" w14:textId="77777777" w:rsidR="00303851" w:rsidRDefault="00303851">
            <w:r>
              <w:t>11</w:t>
            </w:r>
          </w:p>
        </w:tc>
        <w:tc>
          <w:tcPr>
            <w:tcW w:w="14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99A7889" w14:textId="77777777" w:rsidR="00303851" w:rsidRDefault="00303851">
            <w:r>
              <w:t>5</w:t>
            </w:r>
          </w:p>
        </w:tc>
        <w:tc>
          <w:tcPr>
            <w:tcW w:w="11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60EDAAA" w14:textId="77777777" w:rsidR="00303851" w:rsidRDefault="00303851">
            <w:r>
              <w:t>8</w:t>
            </w:r>
          </w:p>
        </w:tc>
      </w:tr>
      <w:tr w:rsidR="00303851" w14:paraId="1674A5E5" w14:textId="77777777" w:rsidTr="00303851">
        <w:trPr>
          <w:trHeight w:val="371"/>
        </w:trPr>
        <w:tc>
          <w:tcPr>
            <w:tcW w:w="37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5A9DF83" w14:textId="77777777" w:rsidR="00303851" w:rsidRDefault="00303851">
            <w:r>
              <w:t>Exempt</w:t>
            </w:r>
            <w:r>
              <w:rPr>
                <w:rStyle w:val="FootnoteReference"/>
              </w:rPr>
              <w:footnoteReference w:customMarkFollows="1" w:id="1"/>
              <w:t>[1]</w:t>
            </w:r>
          </w:p>
        </w:tc>
        <w:tc>
          <w:tcPr>
            <w:tcW w:w="13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0F097E7" w14:textId="77777777" w:rsidR="00303851" w:rsidRDefault="00303851">
            <w:r>
              <w:t>2</w:t>
            </w:r>
          </w:p>
        </w:tc>
        <w:tc>
          <w:tcPr>
            <w:tcW w:w="12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90067A9" w14:textId="77777777" w:rsidR="00303851" w:rsidRDefault="00303851">
            <w:r>
              <w:t>5</w:t>
            </w:r>
          </w:p>
        </w:tc>
        <w:tc>
          <w:tcPr>
            <w:tcW w:w="14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F95AA36" w14:textId="77777777" w:rsidR="00303851" w:rsidRDefault="00303851">
            <w:r>
              <w:t>3</w:t>
            </w:r>
          </w:p>
        </w:tc>
        <w:tc>
          <w:tcPr>
            <w:tcW w:w="11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BAFE86F" w14:textId="77777777" w:rsidR="00303851" w:rsidRDefault="00303851">
            <w:r>
              <w:t>5</w:t>
            </w:r>
          </w:p>
        </w:tc>
      </w:tr>
      <w:tr w:rsidR="00303851" w14:paraId="61B1F1D1" w14:textId="77777777" w:rsidTr="00303851">
        <w:trPr>
          <w:trHeight w:val="371"/>
        </w:trPr>
        <w:tc>
          <w:tcPr>
            <w:tcW w:w="37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40D052E" w14:textId="77777777" w:rsidR="00303851" w:rsidRDefault="00303851">
            <w:r>
              <w:t>Investigating</w:t>
            </w:r>
          </w:p>
        </w:tc>
        <w:tc>
          <w:tcPr>
            <w:tcW w:w="13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28C7806" w14:textId="77777777" w:rsidR="00303851" w:rsidRDefault="00303851">
            <w:r>
              <w:t>2</w:t>
            </w:r>
          </w:p>
        </w:tc>
        <w:tc>
          <w:tcPr>
            <w:tcW w:w="12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1E54E80" w14:textId="77777777" w:rsidR="00303851" w:rsidRDefault="00303851">
            <w:r>
              <w:t>5</w:t>
            </w:r>
          </w:p>
        </w:tc>
        <w:tc>
          <w:tcPr>
            <w:tcW w:w="14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50179EB" w14:textId="77777777" w:rsidR="00303851" w:rsidRDefault="00303851">
            <w:r>
              <w:t>5</w:t>
            </w:r>
          </w:p>
        </w:tc>
        <w:tc>
          <w:tcPr>
            <w:tcW w:w="11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4AED1C3" w14:textId="77777777" w:rsidR="00303851" w:rsidRDefault="00303851">
            <w:r>
              <w:t>8</w:t>
            </w:r>
          </w:p>
        </w:tc>
      </w:tr>
      <w:tr w:rsidR="00303851" w14:paraId="1FCA8019" w14:textId="77777777" w:rsidTr="00303851">
        <w:trPr>
          <w:trHeight w:val="371"/>
        </w:trPr>
        <w:tc>
          <w:tcPr>
            <w:tcW w:w="37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296BFD0" w14:textId="77777777" w:rsidR="00303851" w:rsidRDefault="00303851">
            <w:r>
              <w:t>Unknown</w:t>
            </w:r>
          </w:p>
        </w:tc>
        <w:tc>
          <w:tcPr>
            <w:tcW w:w="13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C493CB7" w14:textId="77777777" w:rsidR="00303851" w:rsidRDefault="00303851">
            <w:r>
              <w:t>13</w:t>
            </w:r>
          </w:p>
        </w:tc>
        <w:tc>
          <w:tcPr>
            <w:tcW w:w="12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0AB347D" w14:textId="77777777" w:rsidR="00303851" w:rsidRDefault="00303851">
            <w:r>
              <w:t>30</w:t>
            </w:r>
          </w:p>
        </w:tc>
        <w:tc>
          <w:tcPr>
            <w:tcW w:w="14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309817E" w14:textId="77777777" w:rsidR="00303851" w:rsidRDefault="00303851">
            <w:r>
              <w:t>17</w:t>
            </w:r>
          </w:p>
        </w:tc>
        <w:tc>
          <w:tcPr>
            <w:tcW w:w="11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EB98FB3" w14:textId="77777777" w:rsidR="00303851" w:rsidRDefault="00303851">
            <w:r>
              <w:t>27</w:t>
            </w:r>
          </w:p>
        </w:tc>
      </w:tr>
      <w:tr w:rsidR="00303851" w14:paraId="047BA34F" w14:textId="77777777" w:rsidTr="00303851">
        <w:trPr>
          <w:trHeight w:val="371"/>
        </w:trPr>
        <w:tc>
          <w:tcPr>
            <w:tcW w:w="37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6A11028" w14:textId="77777777" w:rsidR="00303851" w:rsidRDefault="00303851">
            <w:pPr>
              <w:rPr>
                <w:b/>
                <w:bCs/>
              </w:rPr>
            </w:pPr>
            <w:r>
              <w:rPr>
                <w:b/>
                <w:bCs/>
              </w:rPr>
              <w:t>Total</w:t>
            </w:r>
          </w:p>
        </w:tc>
        <w:tc>
          <w:tcPr>
            <w:tcW w:w="13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BF59689" w14:textId="77777777" w:rsidR="00303851" w:rsidRDefault="00303851">
            <w:pPr>
              <w:rPr>
                <w:b/>
                <w:bCs/>
              </w:rPr>
            </w:pPr>
            <w:r>
              <w:rPr>
                <w:b/>
                <w:bCs/>
              </w:rPr>
              <w:t>43</w:t>
            </w:r>
          </w:p>
        </w:tc>
        <w:tc>
          <w:tcPr>
            <w:tcW w:w="1212" w:type="dxa"/>
            <w:tcBorders>
              <w:top w:val="nil"/>
              <w:left w:val="nil"/>
              <w:bottom w:val="single" w:sz="8" w:space="0" w:color="auto"/>
              <w:right w:val="single" w:sz="8" w:space="0" w:color="auto"/>
            </w:tcBorders>
            <w:tcMar>
              <w:top w:w="0" w:type="dxa"/>
              <w:left w:w="108" w:type="dxa"/>
              <w:bottom w:w="0" w:type="dxa"/>
              <w:right w:w="108" w:type="dxa"/>
            </w:tcMar>
            <w:vAlign w:val="center"/>
          </w:tcPr>
          <w:p w14:paraId="779CF4F6" w14:textId="77777777" w:rsidR="00303851" w:rsidRDefault="00303851">
            <w:pPr>
              <w:rPr>
                <w:b/>
                <w:bCs/>
              </w:rPr>
            </w:pPr>
          </w:p>
        </w:tc>
        <w:tc>
          <w:tcPr>
            <w:tcW w:w="14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B6E707C" w14:textId="77777777" w:rsidR="00303851" w:rsidRDefault="00303851">
            <w:pPr>
              <w:rPr>
                <w:b/>
                <w:bCs/>
              </w:rPr>
            </w:pPr>
            <w:r>
              <w:rPr>
                <w:b/>
                <w:bCs/>
              </w:rPr>
              <w:t>62</w:t>
            </w:r>
          </w:p>
        </w:tc>
        <w:tc>
          <w:tcPr>
            <w:tcW w:w="1117" w:type="dxa"/>
            <w:tcBorders>
              <w:top w:val="nil"/>
              <w:left w:val="nil"/>
              <w:bottom w:val="single" w:sz="8" w:space="0" w:color="auto"/>
              <w:right w:val="single" w:sz="8" w:space="0" w:color="auto"/>
            </w:tcBorders>
            <w:tcMar>
              <w:top w:w="0" w:type="dxa"/>
              <w:left w:w="108" w:type="dxa"/>
              <w:bottom w:w="0" w:type="dxa"/>
              <w:right w:w="108" w:type="dxa"/>
            </w:tcMar>
            <w:vAlign w:val="center"/>
          </w:tcPr>
          <w:p w14:paraId="36DE2D46" w14:textId="77777777" w:rsidR="00303851" w:rsidRDefault="00303851">
            <w:pPr>
              <w:rPr>
                <w:b/>
                <w:bCs/>
              </w:rPr>
            </w:pPr>
          </w:p>
        </w:tc>
      </w:tr>
    </w:tbl>
    <w:p w14:paraId="1634CF1D" w14:textId="77777777" w:rsidR="00303851" w:rsidRDefault="00303851" w:rsidP="00303851">
      <w:pPr>
        <w:pStyle w:val="ListParagraph"/>
        <w:numPr>
          <w:ilvl w:val="0"/>
          <w:numId w:val="0"/>
        </w:numPr>
        <w:ind w:left="360"/>
        <w:rPr>
          <w:rFonts w:eastAsiaTheme="minorHAnsi" w:cs="Arial"/>
          <w:lang w:eastAsia="en-US"/>
        </w:rPr>
      </w:pPr>
    </w:p>
    <w:p w14:paraId="02FA54F8" w14:textId="62B4867F" w:rsidR="00303851" w:rsidRPr="00303851" w:rsidRDefault="00303851" w:rsidP="00B93809">
      <w:pPr>
        <w:pStyle w:val="ListParagraph"/>
        <w:numPr>
          <w:ilvl w:val="0"/>
          <w:numId w:val="7"/>
        </w:numPr>
      </w:pPr>
      <w:r>
        <w:t>As a result of the latest estimates</w:t>
      </w:r>
      <w:r w:rsidRPr="00303851">
        <w:t xml:space="preserve"> conducted in November 2019</w:t>
      </w:r>
      <w:r>
        <w:t>, the Oxfordshire Health and Wellbeing Board’s target set in 2017 to “ensure that the number of people estimated to be sleeping rough in Oxfordshire does not exceed the baseline figure from 2016/17 (79)</w:t>
      </w:r>
      <w:r w:rsidRPr="00303851">
        <w:footnoteReference w:customMarkFollows="1" w:id="2"/>
        <w:t>[2]</w:t>
      </w:r>
      <w:r>
        <w:t xml:space="preserve"> has not been met in 2019/20. However, it is positive to note that across the whole of Oxfordshire the total number of people estimated to be sleeping rough has fallen by 30% to 83 (from 119 in November 2018) and is now only just above the target.</w:t>
      </w:r>
      <w:r w:rsidRPr="00303851">
        <w:t xml:space="preserve"> The breakdown by local authority is as follows:</w:t>
      </w:r>
    </w:p>
    <w:p w14:paraId="589A61DE" w14:textId="56298477" w:rsidR="00303851" w:rsidRPr="00303851" w:rsidRDefault="00303851" w:rsidP="00303851">
      <w:pPr>
        <w:pStyle w:val="ListParagraph"/>
        <w:numPr>
          <w:ilvl w:val="0"/>
          <w:numId w:val="0"/>
        </w:numPr>
        <w:ind w:left="360"/>
      </w:pPr>
      <w:r w:rsidRPr="00303851">
        <w:t>Oxford City: 62</w:t>
      </w:r>
    </w:p>
    <w:p w14:paraId="35A96F32" w14:textId="0DD66DCC" w:rsidR="00303851" w:rsidRPr="00303851" w:rsidRDefault="00303851" w:rsidP="00303851">
      <w:pPr>
        <w:pStyle w:val="ListParagraph"/>
        <w:numPr>
          <w:ilvl w:val="0"/>
          <w:numId w:val="0"/>
        </w:numPr>
        <w:ind w:left="360"/>
      </w:pPr>
      <w:r w:rsidRPr="00303851">
        <w:t>Cherwell: 11</w:t>
      </w:r>
    </w:p>
    <w:p w14:paraId="401BB113" w14:textId="4CA3CDD0" w:rsidR="00303851" w:rsidRPr="00303851" w:rsidRDefault="00303851" w:rsidP="00303851">
      <w:pPr>
        <w:pStyle w:val="ListParagraph"/>
        <w:numPr>
          <w:ilvl w:val="0"/>
          <w:numId w:val="0"/>
        </w:numPr>
        <w:ind w:left="360"/>
      </w:pPr>
      <w:r w:rsidRPr="00303851">
        <w:t>South Oxfordshire: 4</w:t>
      </w:r>
    </w:p>
    <w:p w14:paraId="0164EC90" w14:textId="73C74C6E" w:rsidR="00303851" w:rsidRPr="00303851" w:rsidRDefault="00303851" w:rsidP="00303851">
      <w:pPr>
        <w:pStyle w:val="ListParagraph"/>
        <w:numPr>
          <w:ilvl w:val="0"/>
          <w:numId w:val="0"/>
        </w:numPr>
        <w:ind w:left="360"/>
      </w:pPr>
      <w:r w:rsidRPr="00303851">
        <w:t>Vale of White Horse: 3</w:t>
      </w:r>
    </w:p>
    <w:p w14:paraId="17D40ECE" w14:textId="27E20536" w:rsidR="00303851" w:rsidRPr="00303851" w:rsidRDefault="00303851" w:rsidP="00303851">
      <w:pPr>
        <w:pStyle w:val="ListParagraph"/>
        <w:numPr>
          <w:ilvl w:val="0"/>
          <w:numId w:val="0"/>
        </w:numPr>
        <w:ind w:left="360"/>
      </w:pPr>
      <w:r w:rsidRPr="00303851">
        <w:t>West Oxfordshire: 3</w:t>
      </w:r>
    </w:p>
    <w:p w14:paraId="3D48BB0C" w14:textId="50072A7C" w:rsidR="00303851" w:rsidRPr="00303851" w:rsidRDefault="00303851" w:rsidP="00B93809">
      <w:pPr>
        <w:pStyle w:val="ListParagraph"/>
        <w:numPr>
          <w:ilvl w:val="0"/>
          <w:numId w:val="7"/>
        </w:numPr>
      </w:pPr>
      <w:r>
        <w:t xml:space="preserve">This underlines the need for renewed effort, strengthened collaboration and cooperative working between all the key strategic partners to ensure an effective response to meeting the needs of single homeless people across the whole county, and not simply in Oxford. </w:t>
      </w:r>
    </w:p>
    <w:p w14:paraId="336F8DCD" w14:textId="77777777" w:rsidR="00B30112" w:rsidRDefault="00003329" w:rsidP="00CF26D2">
      <w:pPr>
        <w:pStyle w:val="Heading1"/>
        <w:numPr>
          <w:ilvl w:val="0"/>
          <w:numId w:val="0"/>
        </w:numPr>
        <w:rPr>
          <w:b w:val="0"/>
          <w:u w:val="single"/>
        </w:rPr>
      </w:pPr>
      <w:r>
        <w:rPr>
          <w:b w:val="0"/>
          <w:u w:val="single"/>
        </w:rPr>
        <w:t xml:space="preserve">Continuation of joint commissioning </w:t>
      </w:r>
      <w:r w:rsidR="00D154D5">
        <w:rPr>
          <w:b w:val="0"/>
          <w:u w:val="single"/>
        </w:rPr>
        <w:t>arrangements</w:t>
      </w:r>
    </w:p>
    <w:p w14:paraId="599FC1CC" w14:textId="225B9A93" w:rsidR="0035492E" w:rsidRDefault="003779D5" w:rsidP="00B93809">
      <w:pPr>
        <w:pStyle w:val="ListParagraph"/>
        <w:numPr>
          <w:ilvl w:val="0"/>
          <w:numId w:val="7"/>
        </w:numPr>
      </w:pPr>
      <w:r>
        <w:t xml:space="preserve">The City Council, </w:t>
      </w:r>
      <w:r w:rsidRPr="00952F68">
        <w:t>together with the Oxfordshire District Councils, Oxfordshire County Council and Oxfordshire Clinical Commissioning Group</w:t>
      </w:r>
      <w:r>
        <w:t xml:space="preserve">, </w:t>
      </w:r>
      <w:r w:rsidR="00B33097">
        <w:t>have</w:t>
      </w:r>
      <w:r>
        <w:t xml:space="preserve"> a pooled budget for </w:t>
      </w:r>
      <w:r w:rsidR="0035492E">
        <w:t xml:space="preserve">the commissioning of </w:t>
      </w:r>
      <w:r w:rsidR="00D154D5">
        <w:t>supported accommodation for</w:t>
      </w:r>
      <w:r>
        <w:t xml:space="preserve"> single homeless people. </w:t>
      </w:r>
    </w:p>
    <w:p w14:paraId="60DA8BCB" w14:textId="1CE09AA9" w:rsidR="0035492E" w:rsidRDefault="0035492E" w:rsidP="00B93809">
      <w:pPr>
        <w:pStyle w:val="ListParagraph"/>
        <w:numPr>
          <w:ilvl w:val="0"/>
          <w:numId w:val="7"/>
        </w:numPr>
      </w:pPr>
      <w:r>
        <w:t>The</w:t>
      </w:r>
      <w:r w:rsidR="003779D5">
        <w:t xml:space="preserve"> arrangement was </w:t>
      </w:r>
      <w:r>
        <w:t xml:space="preserve">initially </w:t>
      </w:r>
      <w:r w:rsidR="003779D5">
        <w:t xml:space="preserve">established </w:t>
      </w:r>
      <w:r>
        <w:t xml:space="preserve">for a </w:t>
      </w:r>
      <w:r w:rsidRPr="00952F68">
        <w:t>period of th</w:t>
      </w:r>
      <w:r>
        <w:t>ree years [2017/18 to 2019/20] t</w:t>
      </w:r>
      <w:r w:rsidR="003779D5">
        <w:t xml:space="preserve">o mitigate the impact of </w:t>
      </w:r>
      <w:r w:rsidR="00B33097">
        <w:t xml:space="preserve">reductions in </w:t>
      </w:r>
      <w:r w:rsidRPr="00952F68">
        <w:t>Oxfordshire County Council</w:t>
      </w:r>
      <w:r>
        <w:t xml:space="preserve">’s budget and to </w:t>
      </w:r>
      <w:r w:rsidR="003779D5">
        <w:t>maintain the supply of supported accommodation for single homeless people</w:t>
      </w:r>
      <w:r>
        <w:t xml:space="preserve"> in the county. This collaboration has served to maintain a supply of jointly </w:t>
      </w:r>
      <w:r>
        <w:lastRenderedPageBreak/>
        <w:t>commissioned bed spaces as part of the Adult Homeless Pathway,</w:t>
      </w:r>
      <w:r w:rsidR="009D2FDD">
        <w:t xml:space="preserve"> which </w:t>
      </w:r>
      <w:r>
        <w:t xml:space="preserve">is complemented by the City and District Councils’ commissioning </w:t>
      </w:r>
      <w:r w:rsidR="002D43D6">
        <w:t xml:space="preserve">of </w:t>
      </w:r>
      <w:r>
        <w:t>their own supply of supported accommodation.</w:t>
      </w:r>
    </w:p>
    <w:p w14:paraId="3B31DF09" w14:textId="60D66B5F" w:rsidR="00003329" w:rsidRDefault="003779D5" w:rsidP="00B93809">
      <w:pPr>
        <w:pStyle w:val="ListParagraph"/>
        <w:numPr>
          <w:ilvl w:val="0"/>
          <w:numId w:val="7"/>
        </w:numPr>
      </w:pPr>
      <w:r>
        <w:t xml:space="preserve">2019/20 </w:t>
      </w:r>
      <w:r w:rsidR="0035492E">
        <w:t xml:space="preserve">was to </w:t>
      </w:r>
      <w:r>
        <w:t xml:space="preserve">be the final year of the current pooled budget arrangements for the countywide Adult Homeless Pathway. </w:t>
      </w:r>
      <w:r w:rsidR="0035492E">
        <w:t>However, the partners agreed</w:t>
      </w:r>
      <w:r w:rsidR="00003329">
        <w:t xml:space="preserve"> in </w:t>
      </w:r>
      <w:r w:rsidR="002E6B66">
        <w:t>April 2019</w:t>
      </w:r>
      <w:r w:rsidR="0035492E">
        <w:t xml:space="preserve"> </w:t>
      </w:r>
      <w:r w:rsidR="00003329">
        <w:t>to continue the arrangement for a further two years</w:t>
      </w:r>
      <w:r w:rsidR="001D734B">
        <w:t>,</w:t>
      </w:r>
      <w:r w:rsidR="00003329">
        <w:t xml:space="preserve"> 2020/21</w:t>
      </w:r>
      <w:r w:rsidR="001D734B">
        <w:t>-</w:t>
      </w:r>
      <w:r w:rsidR="00003329">
        <w:t xml:space="preserve"> 202</w:t>
      </w:r>
      <w:r w:rsidR="0078701C">
        <w:t>1</w:t>
      </w:r>
      <w:r w:rsidR="00003329">
        <w:t>/2</w:t>
      </w:r>
      <w:r w:rsidR="0078701C">
        <w:t>2</w:t>
      </w:r>
      <w:r w:rsidR="0028408C">
        <w:t>,</w:t>
      </w:r>
      <w:r w:rsidR="00003329">
        <w:t xml:space="preserve"> to allow time for the development of a countywide strategy on rough sleeping and single homelessness and the subsequent procurement of services. The County Council, as lead commissioner for the housing related support pooled budget, has since extended contracts with the current supported accommodation providers, including Homeless Oxfordshire following a tendered procurement process.</w:t>
      </w:r>
    </w:p>
    <w:p w14:paraId="03463284" w14:textId="6DD4B228" w:rsidR="00D154D5" w:rsidRDefault="00D154D5" w:rsidP="00B93809">
      <w:pPr>
        <w:pStyle w:val="ListParagraph"/>
        <w:numPr>
          <w:ilvl w:val="0"/>
          <w:numId w:val="7"/>
        </w:numPr>
      </w:pPr>
      <w:r>
        <w:t xml:space="preserve">As shown </w:t>
      </w:r>
      <w:r w:rsidR="001D734B">
        <w:t>in</w:t>
      </w:r>
      <w:r>
        <w:t xml:space="preserve"> Appendix A</w:t>
      </w:r>
      <w:r w:rsidR="001D734B">
        <w:t>,</w:t>
      </w:r>
      <w:r>
        <w:t xml:space="preserve"> Supported Accommodation there are</w:t>
      </w:r>
      <w:r w:rsidR="001D734B">
        <w:t xml:space="preserve"> currently</w:t>
      </w:r>
      <w:r>
        <w:t xml:space="preserve"> a total of 10</w:t>
      </w:r>
      <w:r w:rsidR="00131037">
        <w:t>6</w:t>
      </w:r>
      <w:r>
        <w:t xml:space="preserve"> jointly commissioned beds all of which are located in Oxford (7</w:t>
      </w:r>
      <w:r w:rsidR="00131037">
        <w:t>7</w:t>
      </w:r>
      <w:r>
        <w:t xml:space="preserve"> of these are reserved for </w:t>
      </w:r>
      <w:r w:rsidR="00F7193A">
        <w:t xml:space="preserve">use by </w:t>
      </w:r>
      <w:r>
        <w:t>City</w:t>
      </w:r>
      <w:r w:rsidR="0028408C">
        <w:t>-</w:t>
      </w:r>
      <w:r w:rsidR="00F7193A">
        <w:t>connected clients</w:t>
      </w:r>
      <w:r w:rsidR="001D734B">
        <w:t>.</w:t>
      </w:r>
      <w:r>
        <w:t xml:space="preserve">). </w:t>
      </w:r>
    </w:p>
    <w:p w14:paraId="370CA80D" w14:textId="77777777" w:rsidR="00D154D5" w:rsidRPr="001E11DA" w:rsidRDefault="00D154D5" w:rsidP="00B93809">
      <w:pPr>
        <w:pStyle w:val="ListParagraph"/>
        <w:numPr>
          <w:ilvl w:val="0"/>
          <w:numId w:val="7"/>
        </w:numPr>
      </w:pPr>
      <w:r>
        <w:t>The City</w:t>
      </w:r>
      <w:r w:rsidR="00B33097">
        <w:t xml:space="preserve"> Council</w:t>
      </w:r>
      <w:r>
        <w:t xml:space="preserve">’s annual contribution towards the continuation of these arrangements in </w:t>
      </w:r>
      <w:r w:rsidRPr="00131037">
        <w:t xml:space="preserve">2020/21 and 2021/22 will be £219,700 [current contribution of £161,700 plus </w:t>
      </w:r>
      <w:r w:rsidRPr="001E11DA">
        <w:t xml:space="preserve">additional contribution of £58,000]. </w:t>
      </w:r>
    </w:p>
    <w:p w14:paraId="7B97DA1B" w14:textId="0B19F3F6" w:rsidR="00D154D5" w:rsidRPr="001E11DA" w:rsidRDefault="00D154D5" w:rsidP="00B93809">
      <w:pPr>
        <w:pStyle w:val="ListParagraph"/>
        <w:numPr>
          <w:ilvl w:val="0"/>
          <w:numId w:val="7"/>
        </w:numPr>
      </w:pPr>
      <w:r w:rsidRPr="001E11DA">
        <w:t xml:space="preserve">In years one and two of the arrangement [2017/18 and 2018/19] additional funding of £323,400 was drawn from reserves to cover the cost of the contribution. In 2019/20 and subsequent years, </w:t>
      </w:r>
      <w:r w:rsidR="00131037" w:rsidRPr="001E11DA">
        <w:t>the</w:t>
      </w:r>
      <w:r w:rsidRPr="001E11DA">
        <w:t xml:space="preserve"> cost</w:t>
      </w:r>
      <w:r w:rsidR="00131037" w:rsidRPr="001E11DA">
        <w:t xml:space="preserve"> of the City’s contribution to the pooled budget</w:t>
      </w:r>
      <w:r w:rsidRPr="001E11DA">
        <w:t xml:space="preserve"> will be covered from homelessness prevention fund core budget [see paragraph </w:t>
      </w:r>
      <w:r w:rsidR="00303851">
        <w:t>38</w:t>
      </w:r>
      <w:r w:rsidRPr="001E11DA">
        <w:t xml:space="preserve"> below].</w:t>
      </w:r>
    </w:p>
    <w:p w14:paraId="0B97376C" w14:textId="77777777" w:rsidR="00D154D5" w:rsidRDefault="00D154D5" w:rsidP="00D154D5">
      <w:pPr>
        <w:pStyle w:val="Heading1"/>
        <w:numPr>
          <w:ilvl w:val="0"/>
          <w:numId w:val="0"/>
        </w:numPr>
        <w:rPr>
          <w:b w:val="0"/>
          <w:u w:val="single"/>
        </w:rPr>
      </w:pPr>
      <w:r>
        <w:rPr>
          <w:b w:val="0"/>
          <w:u w:val="single"/>
        </w:rPr>
        <w:t>Development of a countywide strategy for rough sleeping</w:t>
      </w:r>
    </w:p>
    <w:p w14:paraId="4335D638" w14:textId="77777777" w:rsidR="009D2FDD" w:rsidRPr="009D2FDD" w:rsidRDefault="00131037" w:rsidP="00B93809">
      <w:pPr>
        <w:pStyle w:val="ListParagraph"/>
        <w:numPr>
          <w:ilvl w:val="0"/>
          <w:numId w:val="7"/>
        </w:numPr>
      </w:pPr>
      <w:r>
        <w:t>I</w:t>
      </w:r>
      <w:r w:rsidR="009D2FDD">
        <w:t>n 201</w:t>
      </w:r>
      <w:r w:rsidR="00003329">
        <w:t xml:space="preserve">9 the </w:t>
      </w:r>
      <w:r w:rsidR="00514844" w:rsidRPr="00952F68">
        <w:t xml:space="preserve">Oxfordshire </w:t>
      </w:r>
      <w:r w:rsidR="00003329">
        <w:t>local authorities collaborated on a</w:t>
      </w:r>
      <w:r w:rsidR="009D2FDD">
        <w:t xml:space="preserve"> successful</w:t>
      </w:r>
      <w:r w:rsidR="00003329">
        <w:t xml:space="preserve"> bid, led by Cherwell District </w:t>
      </w:r>
      <w:r w:rsidR="00514844" w:rsidRPr="00952F68">
        <w:t>Council</w:t>
      </w:r>
      <w:r w:rsidR="00003329">
        <w:t xml:space="preserve">, to secure further funding from the Ministry of Housing, Communities and Local Government’s (MHCLG) Rough Sleeping Initiative Fund. This led to the establishment of a new, two-year fixed term post of </w:t>
      </w:r>
      <w:r w:rsidR="009D2FDD" w:rsidRPr="009D2FDD">
        <w:t>County-wide Strategic Lead (Single Homelessness and Rough Sleeping)</w:t>
      </w:r>
      <w:r w:rsidR="009D2FDD">
        <w:t xml:space="preserve"> to take forward the development of a joint, countywide strategy for rough sleeping and single homeless. </w:t>
      </w:r>
    </w:p>
    <w:p w14:paraId="0367EDBA" w14:textId="77777777" w:rsidR="009D2FDD" w:rsidRDefault="009D2FDD" w:rsidP="00B93809">
      <w:pPr>
        <w:pStyle w:val="ListParagraph"/>
        <w:numPr>
          <w:ilvl w:val="0"/>
          <w:numId w:val="7"/>
        </w:numPr>
      </w:pPr>
      <w:r>
        <w:t>The post-holder started work in September 2019</w:t>
      </w:r>
      <w:r w:rsidR="0078701C">
        <w:t>. The programme of work includes</w:t>
      </w:r>
      <w:r>
        <w:t>:</w:t>
      </w:r>
    </w:p>
    <w:p w14:paraId="4517A1B5" w14:textId="77777777" w:rsidR="0078701C" w:rsidRPr="002261EB" w:rsidRDefault="000842BA" w:rsidP="00B93809">
      <w:pPr>
        <w:pStyle w:val="ListParagraph"/>
        <w:numPr>
          <w:ilvl w:val="0"/>
          <w:numId w:val="8"/>
        </w:numPr>
        <w:tabs>
          <w:tab w:val="clear" w:pos="426"/>
        </w:tabs>
        <w:spacing w:after="200" w:line="276" w:lineRule="auto"/>
        <w:contextualSpacing/>
        <w:rPr>
          <w:rFonts w:cs="Arial"/>
        </w:rPr>
      </w:pPr>
      <w:r>
        <w:rPr>
          <w:rFonts w:cs="Arial"/>
        </w:rPr>
        <w:t>A</w:t>
      </w:r>
      <w:r w:rsidR="0078701C" w:rsidRPr="002261EB">
        <w:rPr>
          <w:rFonts w:cs="Arial"/>
        </w:rPr>
        <w:t>n evidence</w:t>
      </w:r>
      <w:r>
        <w:rPr>
          <w:rFonts w:cs="Arial"/>
        </w:rPr>
        <w:t>-</w:t>
      </w:r>
      <w:r w:rsidR="0078701C" w:rsidRPr="002261EB">
        <w:rPr>
          <w:rFonts w:cs="Arial"/>
        </w:rPr>
        <w:t>based needs analysis of current and future needs including the views of a broad range of stakeholders and the people with lived experience of homelessness in the area</w:t>
      </w:r>
    </w:p>
    <w:p w14:paraId="36A36BE1" w14:textId="77777777" w:rsidR="000842BA" w:rsidRDefault="0078701C" w:rsidP="00B93809">
      <w:pPr>
        <w:pStyle w:val="ListParagraph"/>
        <w:numPr>
          <w:ilvl w:val="0"/>
          <w:numId w:val="8"/>
        </w:numPr>
        <w:tabs>
          <w:tab w:val="clear" w:pos="426"/>
        </w:tabs>
        <w:spacing w:after="200" w:line="276" w:lineRule="auto"/>
        <w:contextualSpacing/>
        <w:rPr>
          <w:rFonts w:cs="Arial"/>
        </w:rPr>
      </w:pPr>
      <w:r w:rsidRPr="002261EB">
        <w:rPr>
          <w:rFonts w:cs="Arial"/>
        </w:rPr>
        <w:t>The scoping of alternative operational models including detailed financial and transitional considerations</w:t>
      </w:r>
    </w:p>
    <w:p w14:paraId="366E6963" w14:textId="7F9768D5" w:rsidR="0078701C" w:rsidRPr="000842BA" w:rsidRDefault="00A22570" w:rsidP="00B93809">
      <w:pPr>
        <w:pStyle w:val="ListParagraph"/>
        <w:numPr>
          <w:ilvl w:val="0"/>
          <w:numId w:val="8"/>
        </w:numPr>
        <w:tabs>
          <w:tab w:val="clear" w:pos="426"/>
        </w:tabs>
        <w:spacing w:after="200" w:line="276" w:lineRule="auto"/>
        <w:contextualSpacing/>
        <w:rPr>
          <w:rFonts w:cs="Arial"/>
        </w:rPr>
      </w:pPr>
      <w:r>
        <w:t xml:space="preserve">Consideration </w:t>
      </w:r>
      <w:r w:rsidR="0078701C">
        <w:t>of various issues that should form part of the new strategy, including responses and approaches to meeting the needs of specific groups [e.g. care leavers, women, older adults, people with disabilities etc.], and ensu</w:t>
      </w:r>
      <w:r w:rsidR="000842BA">
        <w:t>ri</w:t>
      </w:r>
      <w:r w:rsidR="0078701C">
        <w:t>ng that the workforce has the capacity and capability required to meet these need</w:t>
      </w:r>
      <w:r w:rsidR="00724C53">
        <w:t>s</w:t>
      </w:r>
      <w:r w:rsidR="0078701C">
        <w:t>.</w:t>
      </w:r>
    </w:p>
    <w:p w14:paraId="44CDBBDA" w14:textId="312B0A1E" w:rsidR="0078701C" w:rsidRPr="00B93809" w:rsidRDefault="0078701C" w:rsidP="00B93809">
      <w:pPr>
        <w:pStyle w:val="ListParagraph"/>
        <w:numPr>
          <w:ilvl w:val="0"/>
          <w:numId w:val="8"/>
        </w:numPr>
      </w:pPr>
      <w:r w:rsidRPr="002261EB">
        <w:rPr>
          <w:rFonts w:cs="Arial"/>
        </w:rPr>
        <w:t>Development of a county-wide strategy and subsequent commissioning strategy</w:t>
      </w:r>
      <w:r w:rsidR="003F6664">
        <w:rPr>
          <w:rFonts w:cs="Arial"/>
        </w:rPr>
        <w:t>, supported by a county wide pooled budget,</w:t>
      </w:r>
      <w:r w:rsidRPr="002261EB">
        <w:rPr>
          <w:rFonts w:cs="Arial"/>
        </w:rPr>
        <w:t xml:space="preserve"> which will lead to the commissioning of new services by April 2022</w:t>
      </w:r>
    </w:p>
    <w:p w14:paraId="38538173" w14:textId="77777777" w:rsidR="00B93809" w:rsidRDefault="00B93809" w:rsidP="00B93809">
      <w:pPr>
        <w:pStyle w:val="ListParagraph"/>
        <w:numPr>
          <w:ilvl w:val="0"/>
          <w:numId w:val="0"/>
        </w:numPr>
        <w:ind w:left="720"/>
      </w:pPr>
    </w:p>
    <w:p w14:paraId="23AC7F93" w14:textId="77777777" w:rsidR="00135DB0" w:rsidRPr="00D154D5" w:rsidRDefault="00135DB0" w:rsidP="00135DB0">
      <w:pPr>
        <w:rPr>
          <w:u w:val="single"/>
        </w:rPr>
      </w:pPr>
      <w:r w:rsidRPr="00071D8C">
        <w:rPr>
          <w:u w:val="single"/>
        </w:rPr>
        <w:lastRenderedPageBreak/>
        <w:t xml:space="preserve">Ensuring sufficient provision to meet Oxford City’s needs </w:t>
      </w:r>
    </w:p>
    <w:p w14:paraId="2BA6FB07" w14:textId="77777777" w:rsidR="00071D8C" w:rsidRDefault="00135DB0" w:rsidP="00B93809">
      <w:pPr>
        <w:pStyle w:val="ListParagraph"/>
        <w:numPr>
          <w:ilvl w:val="0"/>
          <w:numId w:val="7"/>
        </w:numPr>
      </w:pPr>
      <w:r>
        <w:t>As detailed at Appendix A,</w:t>
      </w:r>
      <w:r w:rsidR="002940F4">
        <w:t xml:space="preserve"> in addition to the 77 bed spaces commissioned via the pooled budget for use by City-connected clients, </w:t>
      </w:r>
      <w:r>
        <w:t>the City Council will directly commission</w:t>
      </w:r>
      <w:r w:rsidR="002940F4">
        <w:t xml:space="preserve"> spaces in 20</w:t>
      </w:r>
      <w:r w:rsidR="00071D8C">
        <w:t>20</w:t>
      </w:r>
      <w:r w:rsidR="002940F4">
        <w:t>/2</w:t>
      </w:r>
      <w:r w:rsidR="00071D8C">
        <w:t>1</w:t>
      </w:r>
      <w:r>
        <w:t xml:space="preserve"> a total of 1</w:t>
      </w:r>
      <w:r w:rsidR="002940F4">
        <w:t>79</w:t>
      </w:r>
      <w:r>
        <w:t xml:space="preserve"> further bed</w:t>
      </w:r>
      <w:r w:rsidR="002940F4">
        <w:t xml:space="preserve"> spaces</w:t>
      </w:r>
      <w:r w:rsidR="00071D8C">
        <w:t xml:space="preserve">. </w:t>
      </w:r>
    </w:p>
    <w:p w14:paraId="3FF9001A" w14:textId="13C38957" w:rsidR="002940F4" w:rsidRDefault="00071D8C" w:rsidP="00B93809">
      <w:pPr>
        <w:pStyle w:val="ListParagraph"/>
        <w:numPr>
          <w:ilvl w:val="0"/>
          <w:numId w:val="7"/>
        </w:numPr>
      </w:pPr>
      <w:r>
        <w:t xml:space="preserve">This </w:t>
      </w:r>
      <w:r w:rsidR="002940F4">
        <w:t>bring</w:t>
      </w:r>
      <w:r>
        <w:t>s</w:t>
      </w:r>
      <w:r w:rsidR="002940F4">
        <w:t xml:space="preserve"> the total number of spaces available to 256</w:t>
      </w:r>
      <w:r w:rsidR="003B6B56">
        <w:t>,</w:t>
      </w:r>
      <w:r>
        <w:t xml:space="preserve"> an increase of 42 spaces on the total number available in 2018</w:t>
      </w:r>
      <w:r w:rsidR="00A22570">
        <w:t>/</w:t>
      </w:r>
      <w:r w:rsidR="00893681">
        <w:t>1</w:t>
      </w:r>
      <w:r>
        <w:t>9, although these are available for different reasons and lengths of stay</w:t>
      </w:r>
      <w:r w:rsidR="00135DB0">
        <w:t xml:space="preserve">. </w:t>
      </w:r>
    </w:p>
    <w:p w14:paraId="4E85C700" w14:textId="7DB0E22E" w:rsidR="002940F4" w:rsidRDefault="002940F4" w:rsidP="00B93809">
      <w:pPr>
        <w:pStyle w:val="ListParagraph"/>
        <w:numPr>
          <w:ilvl w:val="0"/>
          <w:numId w:val="7"/>
        </w:numPr>
      </w:pPr>
      <w:r>
        <w:t xml:space="preserve">The development of services at Floyds Row accounts for most of this expansion, with a total of 56 spaces available once the service is fully operational from April 2020. </w:t>
      </w:r>
      <w:r w:rsidR="00071D8C">
        <w:t>As show</w:t>
      </w:r>
      <w:r w:rsidR="00724C53">
        <w:t>n</w:t>
      </w:r>
      <w:r w:rsidR="00071D8C">
        <w:t xml:space="preserve"> at Appendix A, the number of bed spaces available in ac</w:t>
      </w:r>
      <w:r w:rsidR="00BA24B3">
        <w:t xml:space="preserve">commodation-based assessment services </w:t>
      </w:r>
      <w:r w:rsidR="00724C53">
        <w:t>is</w:t>
      </w:r>
      <w:r w:rsidR="00BA24B3">
        <w:t xml:space="preserve"> expanding, whilst core capacity in the Adult Homeless Pathway is maintained at 98 spaces i</w:t>
      </w:r>
      <w:r w:rsidR="00071D8C">
        <w:t>n 2020/21. T</w:t>
      </w:r>
      <w:r w:rsidR="00BA24B3">
        <w:t>he number of Move On spaces has increased to 15 with the opening of Matilda House.</w:t>
      </w:r>
    </w:p>
    <w:p w14:paraId="7D3037DE" w14:textId="610B844B" w:rsidR="00071D8C" w:rsidRDefault="00071D8C" w:rsidP="00B93809">
      <w:pPr>
        <w:pStyle w:val="ListParagraph"/>
        <w:numPr>
          <w:ilvl w:val="0"/>
          <w:numId w:val="7"/>
        </w:numPr>
      </w:pPr>
      <w:r>
        <w:t>In terms of capacity, the Adult Homeless Pathway continues to be under significant pressure with typically around 20 individuals waiting to access supported accommodation at any point in time, mainly because services for people with complex needs</w:t>
      </w:r>
      <w:r w:rsidR="003B6B56">
        <w:t>,</w:t>
      </w:r>
      <w:r>
        <w:t xml:space="preserve"> at O’Hanlon House, Matilda House and in the Housing First and Acacia Projects</w:t>
      </w:r>
      <w:r w:rsidR="003B6B56">
        <w:t>,</w:t>
      </w:r>
      <w:r>
        <w:t xml:space="preserve"> tend to be over-subscribed. </w:t>
      </w:r>
    </w:p>
    <w:p w14:paraId="3DDC3CEE" w14:textId="7FC6655D" w:rsidR="00071D8C" w:rsidRPr="002240EF" w:rsidRDefault="00071D8C" w:rsidP="00B93809">
      <w:pPr>
        <w:pStyle w:val="ListParagraph"/>
        <w:numPr>
          <w:ilvl w:val="0"/>
          <w:numId w:val="7"/>
        </w:numPr>
      </w:pPr>
      <w:r>
        <w:t xml:space="preserve">The work to develop a countywide strategy for rough sleeping and single homelessness will inform future commissioning intentions with regard to supported accommodation but </w:t>
      </w:r>
      <w:r w:rsidR="00454DC6">
        <w:t xml:space="preserve"> officers </w:t>
      </w:r>
      <w:r w:rsidR="003F6664">
        <w:t>may well</w:t>
      </w:r>
      <w:r w:rsidR="00454DC6">
        <w:t xml:space="preserve"> want to consider</w:t>
      </w:r>
      <w:r w:rsidR="003F6664">
        <w:t>,</w:t>
      </w:r>
      <w:r w:rsidR="00454DC6">
        <w:t xml:space="preserve"> in consultation with the </w:t>
      </w:r>
      <w:r w:rsidR="003F6664">
        <w:t>p</w:t>
      </w:r>
      <w:r w:rsidR="00454DC6">
        <w:t xml:space="preserve">ortfolio </w:t>
      </w:r>
      <w:r w:rsidR="003F6664">
        <w:t>h</w:t>
      </w:r>
      <w:r w:rsidR="00454DC6">
        <w:t>older</w:t>
      </w:r>
      <w:r w:rsidR="003F6664">
        <w:t>,</w:t>
      </w:r>
      <w:r w:rsidR="00454DC6">
        <w:t xml:space="preserve"> whether any short term adjustments to the City’s commissioning plans are needed to optimise the responsiveness and effectiveness of the </w:t>
      </w:r>
      <w:r w:rsidR="00454DC6" w:rsidRPr="002240EF">
        <w:t xml:space="preserve">accommodation available. </w:t>
      </w:r>
      <w:r w:rsidRPr="002240EF">
        <w:t xml:space="preserve"> </w:t>
      </w:r>
    </w:p>
    <w:p w14:paraId="451A44E9" w14:textId="77777777" w:rsidR="00B30112" w:rsidRPr="002240EF" w:rsidRDefault="00816E0E" w:rsidP="00CF26D2">
      <w:pPr>
        <w:pStyle w:val="Heading1"/>
        <w:numPr>
          <w:ilvl w:val="0"/>
          <w:numId w:val="0"/>
        </w:numPr>
        <w:rPr>
          <w:b w:val="0"/>
          <w:u w:val="single"/>
        </w:rPr>
      </w:pPr>
      <w:r w:rsidRPr="002240EF">
        <w:rPr>
          <w:b w:val="0"/>
          <w:u w:val="single"/>
        </w:rPr>
        <w:t xml:space="preserve">Further </w:t>
      </w:r>
      <w:r w:rsidR="00563CE9" w:rsidRPr="002240EF">
        <w:rPr>
          <w:b w:val="0"/>
          <w:u w:val="single"/>
        </w:rPr>
        <w:t>funding opportunities</w:t>
      </w:r>
    </w:p>
    <w:p w14:paraId="1BD27F4E" w14:textId="77777777" w:rsidR="00122B38" w:rsidRDefault="00FA397D" w:rsidP="00B93809">
      <w:pPr>
        <w:pStyle w:val="ListParagraph"/>
        <w:numPr>
          <w:ilvl w:val="0"/>
          <w:numId w:val="7"/>
        </w:numPr>
      </w:pPr>
      <w:r w:rsidRPr="002240EF">
        <w:t>In August 2018, t</w:t>
      </w:r>
      <w:r w:rsidR="00122B38" w:rsidRPr="002240EF">
        <w:t>he</w:t>
      </w:r>
      <w:r w:rsidRPr="002240EF">
        <w:t xml:space="preserve"> government published a</w:t>
      </w:r>
      <w:r w:rsidR="00813F7A" w:rsidRPr="002240EF">
        <w:t xml:space="preserve"> </w:t>
      </w:r>
      <w:r w:rsidRPr="002240EF">
        <w:t>new</w:t>
      </w:r>
      <w:r w:rsidR="00122B38" w:rsidRPr="002240EF">
        <w:t xml:space="preserve"> strategy for rough sleeping which</w:t>
      </w:r>
      <w:r w:rsidR="00122B38" w:rsidRPr="00122B38">
        <w:t xml:space="preserve"> sets out the government’s vision for halving rough sleeping by 2022 and ending it by 2027.</w:t>
      </w:r>
      <w:r w:rsidR="00122B38">
        <w:t xml:space="preserve"> This was followed in December 2018 with the publication of an action plan which confirms the government’s intention to provide funding to help deliver its strategy.</w:t>
      </w:r>
    </w:p>
    <w:p w14:paraId="756A92F2" w14:textId="4B30A050" w:rsidR="002240EF" w:rsidRDefault="00454DC6" w:rsidP="00B93809">
      <w:pPr>
        <w:pStyle w:val="ListParagraph"/>
        <w:numPr>
          <w:ilvl w:val="0"/>
          <w:numId w:val="7"/>
        </w:numPr>
      </w:pPr>
      <w:r>
        <w:t xml:space="preserve">City Officers have since led several </w:t>
      </w:r>
      <w:r w:rsidR="002240EF">
        <w:t xml:space="preserve">successful </w:t>
      </w:r>
      <w:r>
        <w:t xml:space="preserve">bids for </w:t>
      </w:r>
      <w:r w:rsidR="002240EF">
        <w:t xml:space="preserve">MHCLG </w:t>
      </w:r>
      <w:r w:rsidR="00CD717C">
        <w:t>funding</w:t>
      </w:r>
      <w:r w:rsidR="003B6B56">
        <w:t>,</w:t>
      </w:r>
      <w:r>
        <w:t xml:space="preserve"> on behalf of the City and jointly with District and County Council partners</w:t>
      </w:r>
      <w:r w:rsidR="003B6B56">
        <w:t>,</w:t>
      </w:r>
      <w:r>
        <w:t xml:space="preserve"> securing to date a total of </w:t>
      </w:r>
      <w:r w:rsidRPr="00454DC6">
        <w:t>£2,064,408</w:t>
      </w:r>
      <w:r w:rsidR="00C10C6D">
        <w:t>.</w:t>
      </w:r>
      <w:r w:rsidR="002240EF">
        <w:t xml:space="preserve"> A further bid for </w:t>
      </w:r>
      <w:r w:rsidR="002240EF" w:rsidRPr="002240EF">
        <w:t>£1,521,305 has been</w:t>
      </w:r>
      <w:r w:rsidR="002240EF">
        <w:t xml:space="preserve"> </w:t>
      </w:r>
      <w:r w:rsidR="00EB2F49">
        <w:t xml:space="preserve">submitted </w:t>
      </w:r>
      <w:r w:rsidR="002240EF">
        <w:t xml:space="preserve">to MHCLG’s </w:t>
      </w:r>
      <w:r w:rsidR="002240EF" w:rsidRPr="002240EF">
        <w:t>Rough Sleeping Initiative Round 3 Fund seeking contributions to the development of services in Oxford and the wider county.</w:t>
      </w:r>
      <w:r w:rsidR="00893681">
        <w:t xml:space="preserve">  </w:t>
      </w:r>
      <w:r w:rsidR="000842BA">
        <w:t xml:space="preserve">MHCLG have indicated that they are likely to communicate </w:t>
      </w:r>
      <w:r w:rsidR="00893681">
        <w:t xml:space="preserve">indicative decisions </w:t>
      </w:r>
      <w:r w:rsidR="000842BA">
        <w:t>on funding applications</w:t>
      </w:r>
      <w:r w:rsidR="00893681">
        <w:t xml:space="preserve"> before the end of the financial year 19/20.</w:t>
      </w:r>
    </w:p>
    <w:p w14:paraId="14945649" w14:textId="77777777" w:rsidR="00DD457E" w:rsidRPr="0066767A" w:rsidRDefault="00DD457E" w:rsidP="005660C1">
      <w:pPr>
        <w:tabs>
          <w:tab w:val="left" w:pos="6360"/>
        </w:tabs>
        <w:rPr>
          <w:b/>
        </w:rPr>
      </w:pPr>
      <w:r w:rsidRPr="0066767A">
        <w:rPr>
          <w:b/>
        </w:rPr>
        <w:t>Use of Homelessness Prevention Fund</w:t>
      </w:r>
      <w:r w:rsidR="0066767A" w:rsidRPr="0066767A">
        <w:rPr>
          <w:b/>
        </w:rPr>
        <w:t>s in 2019</w:t>
      </w:r>
      <w:r w:rsidR="00135DB0">
        <w:rPr>
          <w:b/>
        </w:rPr>
        <w:t>/20</w:t>
      </w:r>
      <w:r w:rsidR="00B56EAA">
        <w:rPr>
          <w:b/>
        </w:rPr>
        <w:tab/>
      </w:r>
    </w:p>
    <w:p w14:paraId="19BEF87A" w14:textId="77777777" w:rsidR="00135DB0" w:rsidRPr="002240EF" w:rsidRDefault="0075147C" w:rsidP="00B93809">
      <w:pPr>
        <w:pStyle w:val="ListParagraph"/>
        <w:numPr>
          <w:ilvl w:val="0"/>
          <w:numId w:val="7"/>
        </w:numPr>
      </w:pPr>
      <w:r>
        <w:t>Last year’s report by the Head of Housing Services on the allocation of homelessness prevention funds indicated that a</w:t>
      </w:r>
      <w:r w:rsidR="00DD457E" w:rsidRPr="00563CE9">
        <w:t xml:space="preserve"> total </w:t>
      </w:r>
      <w:r w:rsidR="00135DB0">
        <w:t xml:space="preserve">of </w:t>
      </w:r>
      <w:r w:rsidR="00135DB0" w:rsidRPr="000D0077">
        <w:rPr>
          <w:b/>
        </w:rPr>
        <w:t xml:space="preserve">£1,744,197 </w:t>
      </w:r>
      <w:r>
        <w:t xml:space="preserve">had been </w:t>
      </w:r>
      <w:r w:rsidR="00DF150D">
        <w:t>allocated for the delivery of services and support for rough sleepers and sin</w:t>
      </w:r>
      <w:r w:rsidR="00E907EC">
        <w:t>gle homeless people in 201</w:t>
      </w:r>
      <w:r w:rsidR="00135DB0">
        <w:t>9</w:t>
      </w:r>
      <w:r w:rsidR="00E907EC">
        <w:t>/</w:t>
      </w:r>
      <w:r w:rsidR="00135DB0">
        <w:t>20</w:t>
      </w:r>
      <w:r w:rsidR="00E907EC">
        <w:t>.</w:t>
      </w:r>
      <w:r w:rsidR="008F75CC">
        <w:t xml:space="preserve"> </w:t>
      </w:r>
    </w:p>
    <w:p w14:paraId="4E4F1E83" w14:textId="35095263" w:rsidR="006F273C" w:rsidRPr="001E11DA" w:rsidRDefault="00920CC3" w:rsidP="00B93809">
      <w:pPr>
        <w:pStyle w:val="ListParagraph"/>
        <w:numPr>
          <w:ilvl w:val="0"/>
          <w:numId w:val="7"/>
        </w:numPr>
      </w:pPr>
      <w:r w:rsidRPr="001E11DA">
        <w:t xml:space="preserve">There have been a number of developments over the </w:t>
      </w:r>
      <w:proofErr w:type="gramStart"/>
      <w:r w:rsidRPr="001E11DA">
        <w:t>year which have</w:t>
      </w:r>
      <w:proofErr w:type="gramEnd"/>
      <w:r w:rsidRPr="001E11DA">
        <w:t xml:space="preserve"> affected actual spending and </w:t>
      </w:r>
      <w:r w:rsidR="003F6664">
        <w:t>these are summarised below</w:t>
      </w:r>
      <w:r w:rsidR="0028408C">
        <w:t xml:space="preserve"> and set out in detail in Appendix C.</w:t>
      </w:r>
      <w:r w:rsidR="006C6540" w:rsidRPr="001E11DA">
        <w:t xml:space="preserve"> </w:t>
      </w:r>
    </w:p>
    <w:p w14:paraId="4C52584A" w14:textId="77777777" w:rsidR="006F273C" w:rsidRPr="00EE78D1" w:rsidRDefault="006F273C" w:rsidP="00B93809">
      <w:pPr>
        <w:pStyle w:val="ListParagraph"/>
        <w:numPr>
          <w:ilvl w:val="0"/>
          <w:numId w:val="9"/>
        </w:numPr>
        <w:rPr>
          <w:b/>
        </w:rPr>
      </w:pPr>
      <w:r w:rsidRPr="00EE78D1">
        <w:rPr>
          <w:b/>
        </w:rPr>
        <w:lastRenderedPageBreak/>
        <w:t>Acacia / Housing First combined service expansion</w:t>
      </w:r>
    </w:p>
    <w:p w14:paraId="0E11DA6A" w14:textId="1E3FB4B3" w:rsidR="006F273C" w:rsidRPr="006F273C" w:rsidRDefault="006F273C" w:rsidP="006F273C">
      <w:pPr>
        <w:ind w:left="720"/>
        <w:rPr>
          <w:color w:val="auto"/>
        </w:rPr>
      </w:pPr>
      <w:r w:rsidRPr="006F273C">
        <w:rPr>
          <w:color w:val="auto"/>
        </w:rPr>
        <w:t>A total of £107,600 was allocated towards the development of the Acacia Project, a housing-led service for homeless people</w:t>
      </w:r>
      <w:r w:rsidR="005E3DBB">
        <w:rPr>
          <w:rFonts w:cs="Arial"/>
          <w:bCs/>
          <w:iCs/>
        </w:rPr>
        <w:t xml:space="preserve"> with multiple and complex needs including significant mental health needs for </w:t>
      </w:r>
      <w:proofErr w:type="gramStart"/>
      <w:r w:rsidR="005E3DBB">
        <w:rPr>
          <w:rFonts w:cs="Arial"/>
          <w:bCs/>
          <w:iCs/>
        </w:rPr>
        <w:t>whom</w:t>
      </w:r>
      <w:proofErr w:type="gramEnd"/>
      <w:r w:rsidR="005E3DBB">
        <w:rPr>
          <w:rFonts w:cs="Arial"/>
          <w:bCs/>
          <w:iCs/>
        </w:rPr>
        <w:t xml:space="preserve"> traditional offers of </w:t>
      </w:r>
      <w:r w:rsidR="00B33922">
        <w:rPr>
          <w:rFonts w:cs="Arial"/>
          <w:bCs/>
          <w:iCs/>
        </w:rPr>
        <w:t xml:space="preserve">accommodation have not worked. The </w:t>
      </w:r>
      <w:r w:rsidRPr="006F273C">
        <w:rPr>
          <w:color w:val="auto"/>
        </w:rPr>
        <w:t xml:space="preserve">intention </w:t>
      </w:r>
      <w:r w:rsidR="00B33922">
        <w:rPr>
          <w:color w:val="auto"/>
        </w:rPr>
        <w:t xml:space="preserve">has been to </w:t>
      </w:r>
      <w:r w:rsidRPr="006F273C">
        <w:rPr>
          <w:color w:val="auto"/>
        </w:rPr>
        <w:t xml:space="preserve">deliver a combined Acacia / Housing First Service that would deliver 15 units of accommodation from 1st April 2019. </w:t>
      </w:r>
      <w:r w:rsidR="00893681">
        <w:rPr>
          <w:color w:val="auto"/>
        </w:rPr>
        <w:t>Following adjustments to the calculations</w:t>
      </w:r>
      <w:r w:rsidRPr="006F273C">
        <w:rPr>
          <w:color w:val="auto"/>
        </w:rPr>
        <w:t xml:space="preserve"> the sum required for the intended expansion to 10 Acacia units was £95,700</w:t>
      </w:r>
      <w:r w:rsidR="00893681">
        <w:rPr>
          <w:color w:val="auto"/>
        </w:rPr>
        <w:t>.</w:t>
      </w:r>
      <w:r w:rsidRPr="006F273C">
        <w:rPr>
          <w:color w:val="auto"/>
        </w:rPr>
        <w:t xml:space="preserve"> </w:t>
      </w:r>
    </w:p>
    <w:p w14:paraId="5DF4CB94" w14:textId="1C81C516" w:rsidR="006F273C" w:rsidRPr="006F273C" w:rsidRDefault="006F273C" w:rsidP="006F273C">
      <w:pPr>
        <w:spacing w:beforeLines="60" w:before="144" w:afterLines="60" w:after="144"/>
        <w:ind w:left="720"/>
        <w:rPr>
          <w:rFonts w:cs="Arial"/>
          <w:color w:val="auto"/>
        </w:rPr>
      </w:pPr>
      <w:r w:rsidRPr="006F273C">
        <w:rPr>
          <w:color w:val="auto"/>
        </w:rPr>
        <w:t xml:space="preserve">Unfortunately, it has only been possible to expand the capacity of the combined service to a total of 13 units, comprising </w:t>
      </w:r>
      <w:r w:rsidRPr="00920CC3">
        <w:t>8 Acacia units and 5 units of Housing First</w:t>
      </w:r>
      <w:r>
        <w:t xml:space="preserve"> accom</w:t>
      </w:r>
      <w:r w:rsidR="00893681">
        <w:t>m</w:t>
      </w:r>
      <w:r>
        <w:t>odation</w:t>
      </w:r>
      <w:r w:rsidRPr="006F273C">
        <w:rPr>
          <w:color w:val="auto"/>
        </w:rPr>
        <w:t xml:space="preserve">. </w:t>
      </w:r>
      <w:r w:rsidRPr="006F273C">
        <w:rPr>
          <w:rFonts w:cs="Arial"/>
          <w:color w:val="auto"/>
        </w:rPr>
        <w:t>This is because it was agreed that staffing resources for the project would be stretched too far by a larger expansion, creating risk for the individual and other service users. Due to complex negotiations with the providers, the expansion of capacity has been</w:t>
      </w:r>
      <w:r w:rsidR="003F6664">
        <w:rPr>
          <w:rFonts w:cs="Arial"/>
          <w:color w:val="auto"/>
        </w:rPr>
        <w:t xml:space="preserve"> </w:t>
      </w:r>
      <w:r w:rsidR="00F7193A">
        <w:rPr>
          <w:rFonts w:cs="Arial"/>
          <w:color w:val="auto"/>
        </w:rPr>
        <w:t>gradual</w:t>
      </w:r>
      <w:r w:rsidRPr="006F273C">
        <w:rPr>
          <w:rFonts w:cs="Arial"/>
          <w:color w:val="auto"/>
        </w:rPr>
        <w:t xml:space="preserve"> (currently a total of 7 units are in place with the 8</w:t>
      </w:r>
      <w:r w:rsidRPr="006F273C">
        <w:rPr>
          <w:rFonts w:cs="Arial"/>
          <w:color w:val="auto"/>
          <w:vertAlign w:val="superscript"/>
        </w:rPr>
        <w:t>th</w:t>
      </w:r>
      <w:r w:rsidRPr="006F273C">
        <w:rPr>
          <w:rFonts w:cs="Arial"/>
          <w:color w:val="auto"/>
        </w:rPr>
        <w:t xml:space="preserve"> unit expected to come online shortly) and the forecast spend to year end of £86,728 reflects this gradual increase</w:t>
      </w:r>
      <w:r w:rsidR="0015167E">
        <w:rPr>
          <w:rFonts w:cs="Arial"/>
          <w:color w:val="auto"/>
        </w:rPr>
        <w:t>, leading to a forecast underspend against the Acacia allocations of £20,871</w:t>
      </w:r>
      <w:r w:rsidRPr="006F273C">
        <w:rPr>
          <w:rFonts w:cs="Arial"/>
          <w:color w:val="auto"/>
        </w:rPr>
        <w:t xml:space="preserve">. </w:t>
      </w:r>
    </w:p>
    <w:p w14:paraId="1332DA04" w14:textId="77777777" w:rsidR="006F273C" w:rsidRPr="00EE78D1" w:rsidRDefault="006F273C" w:rsidP="00B93809">
      <w:pPr>
        <w:pStyle w:val="ListParagraph"/>
        <w:numPr>
          <w:ilvl w:val="0"/>
          <w:numId w:val="9"/>
        </w:numPr>
        <w:rPr>
          <w:b/>
        </w:rPr>
      </w:pPr>
      <w:r>
        <w:rPr>
          <w:b/>
        </w:rPr>
        <w:t xml:space="preserve">Simon </w:t>
      </w:r>
      <w:r w:rsidRPr="00EE78D1">
        <w:rPr>
          <w:b/>
        </w:rPr>
        <w:t xml:space="preserve">/ </w:t>
      </w:r>
      <w:r>
        <w:rPr>
          <w:b/>
        </w:rPr>
        <w:t xml:space="preserve">Matilda </w:t>
      </w:r>
      <w:r w:rsidRPr="00EE78D1">
        <w:rPr>
          <w:b/>
        </w:rPr>
        <w:t>Hous</w:t>
      </w:r>
      <w:r>
        <w:rPr>
          <w:b/>
        </w:rPr>
        <w:t>e</w:t>
      </w:r>
    </w:p>
    <w:p w14:paraId="20E2787D" w14:textId="77777777" w:rsidR="00EE357B" w:rsidRDefault="006F273C" w:rsidP="006F273C">
      <w:pPr>
        <w:ind w:left="720"/>
        <w:rPr>
          <w:color w:val="auto"/>
        </w:rPr>
      </w:pPr>
      <w:r w:rsidRPr="006F273C">
        <w:rPr>
          <w:color w:val="auto"/>
        </w:rPr>
        <w:t xml:space="preserve">Funding was originally allocated to cover the cost of continuing to provide a transitional service of up to 22 units of supported accommodation at Simon House for people with complex needs for Q1 2019/20 only, whilst the new facility at </w:t>
      </w:r>
      <w:proofErr w:type="spellStart"/>
      <w:r w:rsidRPr="006F273C">
        <w:rPr>
          <w:color w:val="auto"/>
        </w:rPr>
        <w:t>Rymer’s</w:t>
      </w:r>
      <w:proofErr w:type="spellEnd"/>
      <w:r w:rsidRPr="006F273C">
        <w:rPr>
          <w:color w:val="auto"/>
        </w:rPr>
        <w:t xml:space="preserve"> Lane, [Matilda House] was being completed. </w:t>
      </w:r>
    </w:p>
    <w:p w14:paraId="2B350D42" w14:textId="2C2C4183" w:rsidR="00EE357B" w:rsidRDefault="006F273C" w:rsidP="006F273C">
      <w:pPr>
        <w:ind w:left="720"/>
        <w:rPr>
          <w:color w:val="auto"/>
        </w:rPr>
      </w:pPr>
      <w:r w:rsidRPr="006F273C">
        <w:rPr>
          <w:color w:val="auto"/>
        </w:rPr>
        <w:t>In the event, the opening of Matilda House was delayed until September 2019, with the effect</w:t>
      </w:r>
      <w:r w:rsidR="00EB2F49">
        <w:rPr>
          <w:color w:val="auto"/>
        </w:rPr>
        <w:t xml:space="preserve"> that</w:t>
      </w:r>
      <w:r w:rsidRPr="006F273C">
        <w:rPr>
          <w:color w:val="auto"/>
        </w:rPr>
        <w:t xml:space="preserve"> the actual spend for Simon House </w:t>
      </w:r>
      <w:r w:rsidR="00EE357B">
        <w:rPr>
          <w:color w:val="auto"/>
        </w:rPr>
        <w:t>was slightly</w:t>
      </w:r>
      <w:r w:rsidR="00EE357B" w:rsidRPr="006F273C">
        <w:rPr>
          <w:color w:val="auto"/>
        </w:rPr>
        <w:t xml:space="preserve"> </w:t>
      </w:r>
      <w:r w:rsidRPr="006F273C">
        <w:rPr>
          <w:color w:val="auto"/>
        </w:rPr>
        <w:t xml:space="preserve">greater </w:t>
      </w:r>
      <w:r w:rsidR="00EE357B">
        <w:rPr>
          <w:color w:val="auto"/>
        </w:rPr>
        <w:t xml:space="preserve">than the original allocation </w:t>
      </w:r>
      <w:r w:rsidRPr="006F273C">
        <w:rPr>
          <w:color w:val="auto"/>
        </w:rPr>
        <w:t xml:space="preserve">and the spend for Matilda House </w:t>
      </w:r>
      <w:r w:rsidR="00EE357B">
        <w:rPr>
          <w:color w:val="auto"/>
        </w:rPr>
        <w:t xml:space="preserve">slightly </w:t>
      </w:r>
      <w:r w:rsidRPr="006F273C">
        <w:rPr>
          <w:color w:val="auto"/>
        </w:rPr>
        <w:t>lower</w:t>
      </w:r>
      <w:r w:rsidR="00EE357B">
        <w:rPr>
          <w:color w:val="auto"/>
        </w:rPr>
        <w:t xml:space="preserve">. </w:t>
      </w:r>
    </w:p>
    <w:p w14:paraId="2D4A5925" w14:textId="38DA0E17" w:rsidR="006F273C" w:rsidRPr="006F273C" w:rsidRDefault="00EE357B" w:rsidP="006F273C">
      <w:pPr>
        <w:ind w:left="720"/>
        <w:rPr>
          <w:color w:val="auto"/>
        </w:rPr>
      </w:pPr>
      <w:r>
        <w:rPr>
          <w:color w:val="auto"/>
        </w:rPr>
        <w:t>Because the cost of service provision at Matilda House</w:t>
      </w:r>
      <w:r w:rsidR="003B6B56">
        <w:rPr>
          <w:color w:val="auto"/>
        </w:rPr>
        <w:t>,</w:t>
      </w:r>
      <w:r w:rsidRPr="006F273C">
        <w:rPr>
          <w:color w:val="auto"/>
        </w:rPr>
        <w:t xml:space="preserve"> which</w:t>
      </w:r>
      <w:r>
        <w:rPr>
          <w:color w:val="auto"/>
        </w:rPr>
        <w:t xml:space="preserve"> provides 22 </w:t>
      </w:r>
      <w:r w:rsidRPr="006F273C">
        <w:rPr>
          <w:color w:val="auto"/>
        </w:rPr>
        <w:t>units of supported accommodation for people with complex needs</w:t>
      </w:r>
      <w:r>
        <w:rPr>
          <w:color w:val="auto"/>
        </w:rPr>
        <w:t xml:space="preserve"> and</w:t>
      </w:r>
      <w:r w:rsidRPr="006F273C">
        <w:rPr>
          <w:color w:val="auto"/>
        </w:rPr>
        <w:t xml:space="preserve"> 15 units of Move On accommodation</w:t>
      </w:r>
      <w:r w:rsidR="00EB2F49">
        <w:rPr>
          <w:color w:val="auto"/>
        </w:rPr>
        <w:t>,</w:t>
      </w:r>
      <w:r>
        <w:rPr>
          <w:color w:val="auto"/>
        </w:rPr>
        <w:t xml:space="preserve"> is proportionately higher than at Simon House, t</w:t>
      </w:r>
      <w:r w:rsidR="006F273C" w:rsidRPr="006F273C">
        <w:rPr>
          <w:color w:val="auto"/>
        </w:rPr>
        <w:t xml:space="preserve">here is a slight underspend of £4,166 </w:t>
      </w:r>
      <w:r>
        <w:rPr>
          <w:color w:val="auto"/>
        </w:rPr>
        <w:t xml:space="preserve">against </w:t>
      </w:r>
      <w:r w:rsidR="006F273C" w:rsidRPr="006F273C">
        <w:rPr>
          <w:color w:val="auto"/>
        </w:rPr>
        <w:t>the total allocation</w:t>
      </w:r>
      <w:r>
        <w:rPr>
          <w:color w:val="auto"/>
        </w:rPr>
        <w:t xml:space="preserve"> for Simon House and </w:t>
      </w:r>
      <w:r w:rsidR="006F273C" w:rsidRPr="006F273C">
        <w:rPr>
          <w:color w:val="auto"/>
        </w:rPr>
        <w:t>Matilda House.</w:t>
      </w:r>
    </w:p>
    <w:p w14:paraId="184AB4D0" w14:textId="77777777" w:rsidR="006F273C" w:rsidRPr="00EE78D1" w:rsidRDefault="006F273C" w:rsidP="00B93809">
      <w:pPr>
        <w:pStyle w:val="ListParagraph"/>
        <w:numPr>
          <w:ilvl w:val="0"/>
          <w:numId w:val="9"/>
        </w:numPr>
        <w:rPr>
          <w:b/>
        </w:rPr>
      </w:pPr>
      <w:r>
        <w:rPr>
          <w:b/>
        </w:rPr>
        <w:t>Severe Weather Emergency Provision (SWEP)</w:t>
      </w:r>
    </w:p>
    <w:p w14:paraId="05075746" w14:textId="0D5546EF" w:rsidR="006F273C" w:rsidRPr="006F273C" w:rsidRDefault="006F273C" w:rsidP="006F273C">
      <w:pPr>
        <w:ind w:left="720"/>
        <w:rPr>
          <w:color w:val="auto"/>
        </w:rPr>
      </w:pPr>
      <w:r w:rsidRPr="006F273C">
        <w:rPr>
          <w:color w:val="auto"/>
        </w:rPr>
        <w:t>Spending is forecast to be higher</w:t>
      </w:r>
      <w:r w:rsidR="003B6B56">
        <w:rPr>
          <w:color w:val="auto"/>
        </w:rPr>
        <w:t>,</w:t>
      </w:r>
      <w:r w:rsidRPr="006F273C">
        <w:rPr>
          <w:color w:val="auto"/>
        </w:rPr>
        <w:t xml:space="preserve"> at £50,294</w:t>
      </w:r>
      <w:r w:rsidR="003B6B56">
        <w:rPr>
          <w:color w:val="auto"/>
        </w:rPr>
        <w:t>,</w:t>
      </w:r>
      <w:r w:rsidRPr="006F273C">
        <w:rPr>
          <w:color w:val="auto"/>
        </w:rPr>
        <w:t xml:space="preserve"> than the original allocation of £30,000 as a result of changes to how SWEP operates. SWEP is now opening every time the temperature falls to zero degrees Celsius or below, and it is therefore likely that the service will be open for longer than in previous years.</w:t>
      </w:r>
    </w:p>
    <w:p w14:paraId="05ABC564" w14:textId="77777777" w:rsidR="006F273C" w:rsidRPr="006F273C" w:rsidRDefault="006F273C" w:rsidP="006F273C">
      <w:pPr>
        <w:ind w:left="720"/>
        <w:rPr>
          <w:color w:val="auto"/>
        </w:rPr>
      </w:pPr>
      <w:r w:rsidRPr="006F273C">
        <w:rPr>
          <w:color w:val="auto"/>
        </w:rPr>
        <w:t>The forecast</w:t>
      </w:r>
      <w:r w:rsidR="0015167E">
        <w:rPr>
          <w:color w:val="auto"/>
        </w:rPr>
        <w:t xml:space="preserve"> over</w:t>
      </w:r>
      <w:r w:rsidRPr="006F273C">
        <w:rPr>
          <w:color w:val="auto"/>
        </w:rPr>
        <w:t>spend</w:t>
      </w:r>
      <w:r w:rsidR="0015167E">
        <w:rPr>
          <w:color w:val="auto"/>
        </w:rPr>
        <w:t xml:space="preserve"> of £20,294</w:t>
      </w:r>
      <w:r w:rsidRPr="006F273C">
        <w:rPr>
          <w:color w:val="auto"/>
        </w:rPr>
        <w:t xml:space="preserve"> reflects officers’ estimate of what it will cost to operate SWEP for a total of 30 nights over the winter, including putting in place more robust staffing arrangements at O’Hanlon House to enable same day / night activation of SWEP. The increased sum also includes £8,112 towards the cost of delivering SWEP in 2018/19 which was invoiced late by the provider and therefore not accrued.</w:t>
      </w:r>
    </w:p>
    <w:p w14:paraId="29C04035" w14:textId="77777777" w:rsidR="006F273C" w:rsidRPr="00EE78D1" w:rsidRDefault="006F273C" w:rsidP="00B93809">
      <w:pPr>
        <w:pStyle w:val="ListParagraph"/>
        <w:numPr>
          <w:ilvl w:val="0"/>
          <w:numId w:val="9"/>
        </w:numPr>
        <w:rPr>
          <w:b/>
        </w:rPr>
      </w:pPr>
      <w:r>
        <w:rPr>
          <w:b/>
        </w:rPr>
        <w:t>Welfare Reform Team</w:t>
      </w:r>
    </w:p>
    <w:p w14:paraId="4F6BF18B" w14:textId="1B8EF2E7" w:rsidR="006F273C" w:rsidRPr="006F273C" w:rsidRDefault="006F273C" w:rsidP="006F273C">
      <w:pPr>
        <w:ind w:left="720"/>
        <w:rPr>
          <w:color w:val="auto"/>
        </w:rPr>
      </w:pPr>
      <w:r w:rsidRPr="006F273C">
        <w:rPr>
          <w:color w:val="auto"/>
        </w:rPr>
        <w:t xml:space="preserve">This contribution towards the work of a team focussing on the impact of welfare reform across the </w:t>
      </w:r>
      <w:proofErr w:type="gramStart"/>
      <w:r w:rsidRPr="006F273C">
        <w:rPr>
          <w:color w:val="auto"/>
        </w:rPr>
        <w:t>City,</w:t>
      </w:r>
      <w:proofErr w:type="gramEnd"/>
      <w:r w:rsidRPr="006F273C">
        <w:rPr>
          <w:color w:val="auto"/>
        </w:rPr>
        <w:t xml:space="preserve"> is forecast to be slightly greater than the original allocation as a result </w:t>
      </w:r>
      <w:r w:rsidR="003B6B56">
        <w:rPr>
          <w:color w:val="auto"/>
        </w:rPr>
        <w:t>of</w:t>
      </w:r>
      <w:r w:rsidRPr="006F273C">
        <w:rPr>
          <w:color w:val="auto"/>
        </w:rPr>
        <w:t xml:space="preserve"> pay inflation. For technical reasons and because the posts that this funding supports are paid for from a Grants Budget, pay inflation </w:t>
      </w:r>
      <w:r w:rsidRPr="006F273C">
        <w:rPr>
          <w:color w:val="auto"/>
        </w:rPr>
        <w:lastRenderedPageBreak/>
        <w:t>is not automatically applied, hence there is a slight overspend</w:t>
      </w:r>
      <w:r w:rsidR="001F496D">
        <w:rPr>
          <w:color w:val="auto"/>
        </w:rPr>
        <w:t xml:space="preserve"> of £</w:t>
      </w:r>
      <w:r w:rsidR="00663F87">
        <w:rPr>
          <w:color w:val="auto"/>
        </w:rPr>
        <w:t>1,379</w:t>
      </w:r>
      <w:r w:rsidRPr="006F273C">
        <w:rPr>
          <w:color w:val="auto"/>
        </w:rPr>
        <w:t xml:space="preserve"> against the original allocation</w:t>
      </w:r>
      <w:r w:rsidR="001F496D">
        <w:rPr>
          <w:color w:val="auto"/>
        </w:rPr>
        <w:t xml:space="preserve"> of £</w:t>
      </w:r>
      <w:r w:rsidR="00663F87">
        <w:rPr>
          <w:color w:val="auto"/>
        </w:rPr>
        <w:t>82,000</w:t>
      </w:r>
      <w:r w:rsidRPr="006F273C">
        <w:rPr>
          <w:color w:val="auto"/>
        </w:rPr>
        <w:t xml:space="preserve">. </w:t>
      </w:r>
    </w:p>
    <w:p w14:paraId="7B1E357D" w14:textId="77777777" w:rsidR="006F273C" w:rsidRPr="00EE78D1" w:rsidRDefault="006F273C" w:rsidP="00B93809">
      <w:pPr>
        <w:pStyle w:val="ListParagraph"/>
        <w:numPr>
          <w:ilvl w:val="0"/>
          <w:numId w:val="9"/>
        </w:numPr>
        <w:rPr>
          <w:b/>
        </w:rPr>
      </w:pPr>
      <w:r>
        <w:rPr>
          <w:b/>
        </w:rPr>
        <w:t>Service Broker, Big Issue Foundation</w:t>
      </w:r>
    </w:p>
    <w:p w14:paraId="50F6EE00" w14:textId="205B577B" w:rsidR="006F273C" w:rsidRPr="006F273C" w:rsidRDefault="006F273C" w:rsidP="006F273C">
      <w:pPr>
        <w:ind w:left="720"/>
        <w:rPr>
          <w:color w:val="auto"/>
        </w:rPr>
      </w:pPr>
      <w:r w:rsidRPr="006F273C">
        <w:rPr>
          <w:color w:val="auto"/>
        </w:rPr>
        <w:t>A contingency of £3,125 was allocated in 2019/20 to facilitate the ending of the previous Big Issue Service Broker Payment by Results contract. There has been no claim against this allocation and the forecast spend to year end is therefore £nil.</w:t>
      </w:r>
    </w:p>
    <w:p w14:paraId="2C155DED" w14:textId="77777777" w:rsidR="006F273C" w:rsidRPr="00EE78D1" w:rsidRDefault="006F273C" w:rsidP="00B93809">
      <w:pPr>
        <w:pStyle w:val="ListParagraph"/>
        <w:numPr>
          <w:ilvl w:val="0"/>
          <w:numId w:val="9"/>
        </w:numPr>
        <w:rPr>
          <w:b/>
        </w:rPr>
      </w:pPr>
      <w:proofErr w:type="spellStart"/>
      <w:r>
        <w:rPr>
          <w:b/>
        </w:rPr>
        <w:t>OxTHINK</w:t>
      </w:r>
      <w:proofErr w:type="spellEnd"/>
      <w:r>
        <w:rPr>
          <w:b/>
        </w:rPr>
        <w:t xml:space="preserve"> (formerly Oxford CHAIN)</w:t>
      </w:r>
    </w:p>
    <w:p w14:paraId="4AC12477" w14:textId="465BEECD" w:rsidR="006F273C" w:rsidRPr="006F273C" w:rsidRDefault="002465F8" w:rsidP="006F273C">
      <w:pPr>
        <w:ind w:left="720"/>
        <w:rPr>
          <w:color w:val="auto"/>
        </w:rPr>
      </w:pPr>
      <w:r>
        <w:rPr>
          <w:color w:val="auto"/>
        </w:rPr>
        <w:t xml:space="preserve">Funding is allocated to pay for licences to support and enable the functioning of a multi-agency database on rough sleeping and single homelessness. </w:t>
      </w:r>
      <w:r w:rsidR="006F273C" w:rsidRPr="006F273C">
        <w:rPr>
          <w:color w:val="auto"/>
        </w:rPr>
        <w:t xml:space="preserve">The forecast spend for this </w:t>
      </w:r>
      <w:proofErr w:type="gramStart"/>
      <w:r w:rsidR="006F273C" w:rsidRPr="006F273C">
        <w:rPr>
          <w:color w:val="auto"/>
        </w:rPr>
        <w:t>areas</w:t>
      </w:r>
      <w:proofErr w:type="gramEnd"/>
      <w:r w:rsidR="006F273C" w:rsidRPr="006F273C">
        <w:rPr>
          <w:color w:val="auto"/>
        </w:rPr>
        <w:t xml:space="preserve"> is </w:t>
      </w:r>
      <w:r w:rsidR="0015167E">
        <w:rPr>
          <w:color w:val="auto"/>
        </w:rPr>
        <w:t xml:space="preserve">£245.40 </w:t>
      </w:r>
      <w:r w:rsidR="006F273C" w:rsidRPr="006F273C">
        <w:rPr>
          <w:color w:val="auto"/>
        </w:rPr>
        <w:t>lower than the original allocation due to fewer than expected licences being needed.</w:t>
      </w:r>
    </w:p>
    <w:p w14:paraId="6EA0BB20" w14:textId="77777777" w:rsidR="006F273C" w:rsidRPr="00EE78D1" w:rsidRDefault="006F273C" w:rsidP="00B93809">
      <w:pPr>
        <w:pStyle w:val="ListParagraph"/>
        <w:numPr>
          <w:ilvl w:val="0"/>
          <w:numId w:val="9"/>
        </w:numPr>
        <w:rPr>
          <w:b/>
        </w:rPr>
      </w:pPr>
      <w:r>
        <w:rPr>
          <w:b/>
        </w:rPr>
        <w:t>Network development programme</w:t>
      </w:r>
    </w:p>
    <w:p w14:paraId="2737A8EC" w14:textId="77777777" w:rsidR="006F273C" w:rsidRPr="006F273C" w:rsidRDefault="006F273C" w:rsidP="006F273C">
      <w:pPr>
        <w:ind w:left="720"/>
        <w:rPr>
          <w:color w:val="auto"/>
        </w:rPr>
      </w:pPr>
      <w:r w:rsidRPr="006F273C">
        <w:rPr>
          <w:color w:val="auto"/>
        </w:rPr>
        <w:t>As a result of competing priorities, it has not been possible to take forward this element of the team’s work programme</w:t>
      </w:r>
      <w:r w:rsidR="001F496D">
        <w:rPr>
          <w:color w:val="auto"/>
        </w:rPr>
        <w:t xml:space="preserve"> which had an allocation of £5</w:t>
      </w:r>
      <w:r w:rsidR="00487022">
        <w:rPr>
          <w:color w:val="auto"/>
        </w:rPr>
        <w:t>,000</w:t>
      </w:r>
      <w:r w:rsidRPr="006F273C">
        <w:rPr>
          <w:color w:val="auto"/>
        </w:rPr>
        <w:t>. Instead, it is hoped that the development of a countywide strategy for rough sleeping and single homelessness will throw light on what is needed to develop the capacity and capability of the workforce.</w:t>
      </w:r>
    </w:p>
    <w:p w14:paraId="1D582799" w14:textId="77777777" w:rsidR="006F273C" w:rsidRDefault="006F273C" w:rsidP="00B93809">
      <w:pPr>
        <w:pStyle w:val="ListParagraph"/>
        <w:numPr>
          <w:ilvl w:val="0"/>
          <w:numId w:val="9"/>
        </w:numPr>
        <w:rPr>
          <w:b/>
        </w:rPr>
      </w:pPr>
      <w:r>
        <w:rPr>
          <w:b/>
        </w:rPr>
        <w:t>Access to leisure services</w:t>
      </w:r>
    </w:p>
    <w:p w14:paraId="59F3E575" w14:textId="77777777" w:rsidR="006F273C" w:rsidRPr="006C6540" w:rsidRDefault="006F273C" w:rsidP="006F273C">
      <w:pPr>
        <w:ind w:left="720"/>
        <w:rPr>
          <w:rFonts w:cs="Arial"/>
          <w:color w:val="auto"/>
          <w:szCs w:val="22"/>
        </w:rPr>
      </w:pPr>
      <w:r w:rsidRPr="006F273C">
        <w:rPr>
          <w:color w:val="auto"/>
        </w:rPr>
        <w:t>£5,000 was all</w:t>
      </w:r>
      <w:r w:rsidR="00A34A5D">
        <w:rPr>
          <w:color w:val="auto"/>
        </w:rPr>
        <w:t>ocated to a new, pilot scheme t</w:t>
      </w:r>
      <w:r w:rsidRPr="006F273C">
        <w:rPr>
          <w:color w:val="auto"/>
        </w:rPr>
        <w:t>o support former rough sleepers</w:t>
      </w:r>
      <w:r w:rsidRPr="006C6540">
        <w:rPr>
          <w:rFonts w:cs="Arial"/>
          <w:color w:val="auto"/>
          <w:szCs w:val="22"/>
        </w:rPr>
        <w:t xml:space="preserve"> to access the Council’s leisure facilities free of charge. </w:t>
      </w:r>
    </w:p>
    <w:p w14:paraId="7CB6A147" w14:textId="42EC7744" w:rsidR="006F273C" w:rsidRDefault="006F273C" w:rsidP="006F273C">
      <w:pPr>
        <w:ind w:left="720"/>
        <w:rPr>
          <w:rFonts w:cs="Arial"/>
          <w:color w:val="auto"/>
          <w:szCs w:val="22"/>
        </w:rPr>
      </w:pPr>
      <w:r w:rsidRPr="006C6540">
        <w:rPr>
          <w:rFonts w:cs="Arial"/>
          <w:color w:val="auto"/>
          <w:szCs w:val="22"/>
        </w:rPr>
        <w:t>As of the end of December, we have received and accepted 16 applications for the scheme</w:t>
      </w:r>
      <w:r w:rsidR="0015167E">
        <w:rPr>
          <w:rFonts w:cs="Arial"/>
          <w:color w:val="auto"/>
          <w:szCs w:val="22"/>
        </w:rPr>
        <w:t>, and a total of £3,276 is forecast to be spent by the end of the year</w:t>
      </w:r>
      <w:r w:rsidRPr="006C6540">
        <w:rPr>
          <w:rFonts w:cs="Arial"/>
          <w:color w:val="auto"/>
          <w:szCs w:val="22"/>
        </w:rPr>
        <w:t>. A further round of publicity is planned for January to promote the scheme further</w:t>
      </w:r>
      <w:r w:rsidR="0015167E">
        <w:rPr>
          <w:rFonts w:cs="Arial"/>
          <w:color w:val="auto"/>
          <w:szCs w:val="22"/>
        </w:rPr>
        <w:t>, and officers have requested that the remaining £1,724 from the original allocation be carried forward into 2020/21 to support the continuation of the scheme</w:t>
      </w:r>
      <w:r w:rsidRPr="006C6540">
        <w:rPr>
          <w:rFonts w:cs="Arial"/>
          <w:color w:val="auto"/>
          <w:szCs w:val="22"/>
        </w:rPr>
        <w:t xml:space="preserve">. We will evaluate the success of the scheme through personal evaluations of the clients using the gym memberships, along with feedback from support workers and </w:t>
      </w:r>
      <w:r w:rsidR="00EB2F49">
        <w:rPr>
          <w:rFonts w:cs="Arial"/>
          <w:color w:val="auto"/>
          <w:szCs w:val="22"/>
        </w:rPr>
        <w:t>the Council’s</w:t>
      </w:r>
      <w:r w:rsidRPr="006C6540">
        <w:rPr>
          <w:rFonts w:cs="Arial"/>
          <w:color w:val="auto"/>
          <w:szCs w:val="22"/>
        </w:rPr>
        <w:t xml:space="preserve"> leisure partner, Fusion.</w:t>
      </w:r>
    </w:p>
    <w:p w14:paraId="7699EE1E" w14:textId="77777777" w:rsidR="00B93809" w:rsidRDefault="00B93809" w:rsidP="006F273C">
      <w:pPr>
        <w:ind w:left="720"/>
        <w:rPr>
          <w:rFonts w:cs="Arial"/>
          <w:color w:val="auto"/>
          <w:szCs w:val="22"/>
        </w:rPr>
      </w:pPr>
    </w:p>
    <w:p w14:paraId="0A50F0D5" w14:textId="77777777" w:rsidR="00B93809" w:rsidRDefault="00B93809" w:rsidP="006F273C">
      <w:pPr>
        <w:ind w:left="720"/>
        <w:rPr>
          <w:rFonts w:cs="Arial"/>
          <w:color w:val="auto"/>
          <w:szCs w:val="22"/>
        </w:rPr>
      </w:pPr>
    </w:p>
    <w:p w14:paraId="5E33DF7D" w14:textId="77777777" w:rsidR="00B93809" w:rsidRDefault="00B93809" w:rsidP="006F273C">
      <w:pPr>
        <w:ind w:left="720"/>
        <w:rPr>
          <w:rFonts w:cs="Arial"/>
          <w:color w:val="auto"/>
          <w:szCs w:val="22"/>
        </w:rPr>
      </w:pPr>
    </w:p>
    <w:p w14:paraId="07119C86" w14:textId="77777777" w:rsidR="00B93809" w:rsidRDefault="00B93809" w:rsidP="006F273C">
      <w:pPr>
        <w:ind w:left="720"/>
        <w:rPr>
          <w:rFonts w:cs="Arial"/>
          <w:color w:val="auto"/>
          <w:szCs w:val="22"/>
        </w:rPr>
      </w:pPr>
    </w:p>
    <w:p w14:paraId="49AE798D" w14:textId="77777777" w:rsidR="00B93809" w:rsidRDefault="00B93809" w:rsidP="006F273C">
      <w:pPr>
        <w:ind w:left="720"/>
        <w:rPr>
          <w:rFonts w:cs="Arial"/>
          <w:color w:val="auto"/>
          <w:szCs w:val="22"/>
        </w:rPr>
      </w:pPr>
    </w:p>
    <w:p w14:paraId="4579EAE4" w14:textId="77777777" w:rsidR="00B93809" w:rsidRDefault="00B93809" w:rsidP="006F273C">
      <w:pPr>
        <w:ind w:left="720"/>
        <w:rPr>
          <w:rFonts w:cs="Arial"/>
          <w:color w:val="auto"/>
          <w:szCs w:val="22"/>
        </w:rPr>
      </w:pPr>
    </w:p>
    <w:p w14:paraId="71351068" w14:textId="77777777" w:rsidR="00B93809" w:rsidRDefault="00B93809" w:rsidP="006F273C">
      <w:pPr>
        <w:ind w:left="720"/>
        <w:rPr>
          <w:rFonts w:cs="Arial"/>
          <w:color w:val="auto"/>
          <w:szCs w:val="22"/>
        </w:rPr>
      </w:pPr>
    </w:p>
    <w:p w14:paraId="1BC34EFC" w14:textId="77777777" w:rsidR="00B93809" w:rsidRDefault="00B93809" w:rsidP="006F273C">
      <w:pPr>
        <w:ind w:left="720"/>
        <w:rPr>
          <w:rFonts w:cs="Arial"/>
          <w:color w:val="auto"/>
          <w:szCs w:val="22"/>
        </w:rPr>
      </w:pPr>
    </w:p>
    <w:p w14:paraId="2EB9CDEC" w14:textId="77777777" w:rsidR="00B93809" w:rsidRDefault="00B93809" w:rsidP="006F273C">
      <w:pPr>
        <w:ind w:left="720"/>
        <w:rPr>
          <w:rFonts w:cs="Arial"/>
          <w:color w:val="auto"/>
          <w:szCs w:val="22"/>
        </w:rPr>
      </w:pPr>
    </w:p>
    <w:p w14:paraId="291DAF4D" w14:textId="77777777" w:rsidR="00B93809" w:rsidRDefault="00B93809" w:rsidP="006F273C">
      <w:pPr>
        <w:ind w:left="720"/>
        <w:rPr>
          <w:rFonts w:cs="Arial"/>
          <w:color w:val="auto"/>
          <w:szCs w:val="22"/>
        </w:rPr>
      </w:pPr>
    </w:p>
    <w:p w14:paraId="72DAEB45" w14:textId="77777777" w:rsidR="00B93809" w:rsidRDefault="00B93809" w:rsidP="006F273C">
      <w:pPr>
        <w:ind w:left="720"/>
        <w:rPr>
          <w:rFonts w:cs="Arial"/>
          <w:color w:val="auto"/>
          <w:szCs w:val="22"/>
        </w:rPr>
      </w:pPr>
    </w:p>
    <w:p w14:paraId="5380AF26" w14:textId="77777777" w:rsidR="00B93809" w:rsidRPr="006C6540" w:rsidRDefault="00B93809" w:rsidP="006F273C">
      <w:pPr>
        <w:ind w:left="720"/>
        <w:rPr>
          <w:rFonts w:cs="Arial"/>
          <w:color w:val="auto"/>
          <w:szCs w:val="22"/>
        </w:rPr>
      </w:pPr>
    </w:p>
    <w:p w14:paraId="05561097" w14:textId="77777777" w:rsidR="00C6707D" w:rsidRDefault="0015167E" w:rsidP="00B93809">
      <w:pPr>
        <w:pStyle w:val="ListParagraph"/>
        <w:numPr>
          <w:ilvl w:val="0"/>
          <w:numId w:val="7"/>
        </w:numPr>
      </w:pPr>
      <w:r>
        <w:lastRenderedPageBreak/>
        <w:t xml:space="preserve">These variations against the original allocations for 2019/20 are summarised in the table below. </w:t>
      </w:r>
    </w:p>
    <w:tbl>
      <w:tblPr>
        <w:tblW w:w="9923" w:type="dxa"/>
        <w:tblInd w:w="-10" w:type="dxa"/>
        <w:tblLook w:val="04A0" w:firstRow="1" w:lastRow="0" w:firstColumn="1" w:lastColumn="0" w:noHBand="0" w:noVBand="1"/>
      </w:tblPr>
      <w:tblGrid>
        <w:gridCol w:w="2790"/>
        <w:gridCol w:w="1437"/>
        <w:gridCol w:w="1437"/>
        <w:gridCol w:w="1276"/>
        <w:gridCol w:w="1559"/>
        <w:gridCol w:w="1424"/>
      </w:tblGrid>
      <w:tr w:rsidR="005F5B4D" w:rsidRPr="005F5B4D" w14:paraId="39C60F66" w14:textId="77777777" w:rsidTr="001D42C1">
        <w:trPr>
          <w:trHeight w:val="810"/>
        </w:trPr>
        <w:tc>
          <w:tcPr>
            <w:tcW w:w="2790" w:type="dxa"/>
            <w:vMerge w:val="restart"/>
            <w:tcBorders>
              <w:top w:val="single" w:sz="8" w:space="0" w:color="auto"/>
              <w:left w:val="single" w:sz="8" w:space="0" w:color="auto"/>
              <w:bottom w:val="single" w:sz="4" w:space="0" w:color="000000"/>
              <w:right w:val="single" w:sz="4" w:space="0" w:color="auto"/>
            </w:tcBorders>
            <w:shd w:val="clear" w:color="auto" w:fill="auto"/>
            <w:vAlign w:val="center"/>
            <w:hideMark/>
          </w:tcPr>
          <w:p w14:paraId="51C724A1" w14:textId="77777777" w:rsidR="005F5B4D" w:rsidRPr="005F5B4D" w:rsidRDefault="005F5B4D" w:rsidP="005F5B4D">
            <w:pPr>
              <w:spacing w:after="0"/>
              <w:rPr>
                <w:rFonts w:ascii="Calibri" w:hAnsi="Calibri" w:cs="Calibri"/>
                <w:b/>
                <w:bCs/>
                <w:color w:val="auto"/>
              </w:rPr>
            </w:pPr>
            <w:r w:rsidRPr="005F5B4D">
              <w:rPr>
                <w:rFonts w:ascii="Calibri" w:hAnsi="Calibri" w:cs="Calibri"/>
                <w:b/>
                <w:bCs/>
                <w:color w:val="auto"/>
              </w:rPr>
              <w:t>Service</w:t>
            </w:r>
          </w:p>
        </w:tc>
        <w:tc>
          <w:tcPr>
            <w:tcW w:w="1437"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14:paraId="5FD52208" w14:textId="05E1F94C" w:rsidR="005F5B4D" w:rsidRPr="005F5B4D" w:rsidRDefault="005F5B4D" w:rsidP="00EB2F49">
            <w:pPr>
              <w:spacing w:after="0"/>
              <w:jc w:val="center"/>
              <w:rPr>
                <w:rFonts w:ascii="Calibri" w:hAnsi="Calibri" w:cs="Calibri"/>
                <w:b/>
                <w:bCs/>
              </w:rPr>
            </w:pPr>
            <w:r w:rsidRPr="005F5B4D">
              <w:rPr>
                <w:rFonts w:ascii="Calibri" w:hAnsi="Calibri" w:cs="Calibri"/>
                <w:b/>
                <w:bCs/>
              </w:rPr>
              <w:t>2019</w:t>
            </w:r>
            <w:r w:rsidR="00EB2F49">
              <w:rPr>
                <w:rFonts w:ascii="Calibri" w:hAnsi="Calibri" w:cs="Calibri"/>
                <w:b/>
                <w:bCs/>
              </w:rPr>
              <w:t>/</w:t>
            </w:r>
            <w:r w:rsidRPr="005F5B4D">
              <w:rPr>
                <w:rFonts w:ascii="Calibri" w:hAnsi="Calibri" w:cs="Calibri"/>
                <w:b/>
                <w:bCs/>
              </w:rPr>
              <w:t xml:space="preserve">20 Budget Allocation </w:t>
            </w:r>
          </w:p>
        </w:tc>
        <w:tc>
          <w:tcPr>
            <w:tcW w:w="1437" w:type="dxa"/>
            <w:vMerge w:val="restart"/>
            <w:tcBorders>
              <w:top w:val="single" w:sz="8" w:space="0" w:color="auto"/>
              <w:left w:val="nil"/>
              <w:bottom w:val="single" w:sz="4" w:space="0" w:color="000000"/>
              <w:right w:val="nil"/>
            </w:tcBorders>
            <w:shd w:val="clear" w:color="auto" w:fill="auto"/>
            <w:vAlign w:val="center"/>
            <w:hideMark/>
          </w:tcPr>
          <w:p w14:paraId="0E877C2E" w14:textId="77777777" w:rsidR="005F5B4D" w:rsidRPr="005F5B4D" w:rsidRDefault="005F5B4D" w:rsidP="005F5B4D">
            <w:pPr>
              <w:spacing w:after="0"/>
              <w:jc w:val="center"/>
              <w:rPr>
                <w:rFonts w:ascii="Calibri" w:hAnsi="Calibri" w:cs="Calibri"/>
                <w:b/>
                <w:bCs/>
                <w:color w:val="auto"/>
              </w:rPr>
            </w:pPr>
            <w:r w:rsidRPr="005F5B4D">
              <w:rPr>
                <w:rFonts w:ascii="Calibri" w:hAnsi="Calibri" w:cs="Calibri"/>
                <w:b/>
                <w:bCs/>
                <w:color w:val="auto"/>
              </w:rPr>
              <w:t>Total forecast spend to YE</w:t>
            </w:r>
          </w:p>
        </w:tc>
        <w:tc>
          <w:tcPr>
            <w:tcW w:w="1276" w:type="dxa"/>
            <w:vMerge w:val="restart"/>
            <w:tcBorders>
              <w:top w:val="single" w:sz="8" w:space="0" w:color="auto"/>
              <w:left w:val="nil"/>
              <w:bottom w:val="single" w:sz="4" w:space="0" w:color="000000"/>
              <w:right w:val="single" w:sz="4" w:space="0" w:color="auto"/>
            </w:tcBorders>
            <w:shd w:val="clear" w:color="auto" w:fill="auto"/>
            <w:vAlign w:val="center"/>
            <w:hideMark/>
          </w:tcPr>
          <w:p w14:paraId="7EB39A11" w14:textId="77777777" w:rsidR="005F5B4D" w:rsidRPr="005F5B4D" w:rsidRDefault="005F5B4D" w:rsidP="005F5B4D">
            <w:pPr>
              <w:spacing w:after="0"/>
              <w:jc w:val="center"/>
              <w:rPr>
                <w:rFonts w:ascii="Calibri" w:hAnsi="Calibri" w:cs="Calibri"/>
                <w:b/>
                <w:bCs/>
                <w:color w:val="auto"/>
              </w:rPr>
            </w:pPr>
            <w:r w:rsidRPr="005F5B4D">
              <w:rPr>
                <w:rFonts w:ascii="Calibri" w:hAnsi="Calibri" w:cs="Calibri"/>
                <w:b/>
                <w:bCs/>
                <w:color w:val="auto"/>
              </w:rPr>
              <w:t>Carry forward</w:t>
            </w:r>
          </w:p>
        </w:tc>
        <w:tc>
          <w:tcPr>
            <w:tcW w:w="2983" w:type="dxa"/>
            <w:gridSpan w:val="2"/>
            <w:tcBorders>
              <w:top w:val="single" w:sz="8" w:space="0" w:color="auto"/>
              <w:left w:val="nil"/>
              <w:bottom w:val="nil"/>
              <w:right w:val="single" w:sz="8" w:space="0" w:color="000000"/>
            </w:tcBorders>
            <w:shd w:val="clear" w:color="auto" w:fill="auto"/>
            <w:vAlign w:val="center"/>
            <w:hideMark/>
          </w:tcPr>
          <w:p w14:paraId="4B2A8891" w14:textId="77777777" w:rsidR="005F5B4D" w:rsidRPr="005F5B4D" w:rsidRDefault="005F5B4D" w:rsidP="005F5B4D">
            <w:pPr>
              <w:spacing w:after="0"/>
              <w:jc w:val="center"/>
              <w:rPr>
                <w:rFonts w:ascii="Calibri" w:hAnsi="Calibri" w:cs="Calibri"/>
                <w:b/>
                <w:bCs/>
                <w:color w:val="auto"/>
              </w:rPr>
            </w:pPr>
            <w:r w:rsidRPr="005F5B4D">
              <w:rPr>
                <w:rFonts w:ascii="Calibri" w:hAnsi="Calibri" w:cs="Calibri"/>
                <w:b/>
                <w:bCs/>
                <w:color w:val="auto"/>
              </w:rPr>
              <w:t>Forecast Variance v. original allocation</w:t>
            </w:r>
          </w:p>
        </w:tc>
      </w:tr>
      <w:tr w:rsidR="005F5B4D" w:rsidRPr="005F5B4D" w14:paraId="0029B03B" w14:textId="77777777" w:rsidTr="001D42C1">
        <w:trPr>
          <w:trHeight w:val="460"/>
        </w:trPr>
        <w:tc>
          <w:tcPr>
            <w:tcW w:w="2790" w:type="dxa"/>
            <w:vMerge/>
            <w:tcBorders>
              <w:top w:val="single" w:sz="8" w:space="0" w:color="auto"/>
              <w:left w:val="single" w:sz="8" w:space="0" w:color="auto"/>
              <w:bottom w:val="single" w:sz="4" w:space="0" w:color="000000"/>
              <w:right w:val="single" w:sz="4" w:space="0" w:color="auto"/>
            </w:tcBorders>
            <w:vAlign w:val="center"/>
            <w:hideMark/>
          </w:tcPr>
          <w:p w14:paraId="7E498508" w14:textId="77777777" w:rsidR="005F5B4D" w:rsidRPr="005F5B4D" w:rsidRDefault="005F5B4D" w:rsidP="005F5B4D">
            <w:pPr>
              <w:spacing w:after="0"/>
              <w:rPr>
                <w:rFonts w:ascii="Calibri" w:hAnsi="Calibri" w:cs="Calibri"/>
                <w:b/>
                <w:bCs/>
                <w:color w:val="auto"/>
              </w:rPr>
            </w:pPr>
          </w:p>
        </w:tc>
        <w:tc>
          <w:tcPr>
            <w:tcW w:w="1437" w:type="dxa"/>
            <w:vMerge/>
            <w:tcBorders>
              <w:top w:val="single" w:sz="8" w:space="0" w:color="auto"/>
              <w:left w:val="single" w:sz="4" w:space="0" w:color="auto"/>
              <w:bottom w:val="single" w:sz="4" w:space="0" w:color="000000"/>
              <w:right w:val="single" w:sz="4" w:space="0" w:color="auto"/>
            </w:tcBorders>
            <w:vAlign w:val="center"/>
            <w:hideMark/>
          </w:tcPr>
          <w:p w14:paraId="658180F6" w14:textId="77777777" w:rsidR="005F5B4D" w:rsidRPr="005F5B4D" w:rsidRDefault="005F5B4D" w:rsidP="005F5B4D">
            <w:pPr>
              <w:spacing w:after="0"/>
              <w:rPr>
                <w:rFonts w:ascii="Calibri" w:hAnsi="Calibri" w:cs="Calibri"/>
                <w:b/>
                <w:bCs/>
              </w:rPr>
            </w:pPr>
          </w:p>
        </w:tc>
        <w:tc>
          <w:tcPr>
            <w:tcW w:w="1437" w:type="dxa"/>
            <w:vMerge/>
            <w:tcBorders>
              <w:top w:val="single" w:sz="8" w:space="0" w:color="auto"/>
              <w:left w:val="nil"/>
              <w:bottom w:val="single" w:sz="4" w:space="0" w:color="000000"/>
              <w:right w:val="nil"/>
            </w:tcBorders>
            <w:vAlign w:val="center"/>
            <w:hideMark/>
          </w:tcPr>
          <w:p w14:paraId="343D3D5A" w14:textId="77777777" w:rsidR="005F5B4D" w:rsidRPr="005F5B4D" w:rsidRDefault="005F5B4D" w:rsidP="005F5B4D">
            <w:pPr>
              <w:spacing w:after="0"/>
              <w:rPr>
                <w:rFonts w:ascii="Calibri" w:hAnsi="Calibri" w:cs="Calibri"/>
                <w:b/>
                <w:bCs/>
                <w:color w:val="auto"/>
              </w:rPr>
            </w:pPr>
          </w:p>
        </w:tc>
        <w:tc>
          <w:tcPr>
            <w:tcW w:w="1276" w:type="dxa"/>
            <w:vMerge/>
            <w:tcBorders>
              <w:top w:val="single" w:sz="8" w:space="0" w:color="auto"/>
              <w:left w:val="nil"/>
              <w:bottom w:val="single" w:sz="4" w:space="0" w:color="000000"/>
              <w:right w:val="single" w:sz="4" w:space="0" w:color="auto"/>
            </w:tcBorders>
            <w:vAlign w:val="center"/>
            <w:hideMark/>
          </w:tcPr>
          <w:p w14:paraId="2C677353" w14:textId="77777777" w:rsidR="005F5B4D" w:rsidRPr="005F5B4D" w:rsidRDefault="005F5B4D" w:rsidP="005F5B4D">
            <w:pPr>
              <w:spacing w:after="0"/>
              <w:rPr>
                <w:rFonts w:ascii="Calibri" w:hAnsi="Calibri" w:cs="Calibri"/>
                <w:b/>
                <w:bCs/>
                <w:color w:val="auto"/>
              </w:rPr>
            </w:pP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17BFF186" w14:textId="77777777" w:rsidR="005F5B4D" w:rsidRPr="005F5B4D" w:rsidRDefault="005F5B4D" w:rsidP="005F5B4D">
            <w:pPr>
              <w:spacing w:after="0"/>
              <w:jc w:val="center"/>
              <w:rPr>
                <w:rFonts w:ascii="Calibri" w:hAnsi="Calibri" w:cs="Calibri"/>
                <w:b/>
                <w:bCs/>
                <w:color w:val="auto"/>
              </w:rPr>
            </w:pPr>
            <w:r w:rsidRPr="005F5B4D">
              <w:rPr>
                <w:rFonts w:ascii="Calibri" w:hAnsi="Calibri" w:cs="Calibri"/>
                <w:b/>
                <w:bCs/>
                <w:color w:val="auto"/>
              </w:rPr>
              <w:t>Underspend</w:t>
            </w:r>
          </w:p>
        </w:tc>
        <w:tc>
          <w:tcPr>
            <w:tcW w:w="1424" w:type="dxa"/>
            <w:tcBorders>
              <w:top w:val="single" w:sz="4" w:space="0" w:color="auto"/>
              <w:left w:val="nil"/>
              <w:bottom w:val="nil"/>
              <w:right w:val="single" w:sz="8" w:space="0" w:color="auto"/>
            </w:tcBorders>
            <w:shd w:val="clear" w:color="auto" w:fill="auto"/>
            <w:vAlign w:val="center"/>
            <w:hideMark/>
          </w:tcPr>
          <w:p w14:paraId="39A16843" w14:textId="77777777" w:rsidR="005F5B4D" w:rsidRPr="005F5B4D" w:rsidRDefault="005F5B4D" w:rsidP="005F5B4D">
            <w:pPr>
              <w:spacing w:after="0"/>
              <w:jc w:val="center"/>
              <w:rPr>
                <w:rFonts w:ascii="Calibri" w:hAnsi="Calibri" w:cs="Calibri"/>
                <w:b/>
                <w:bCs/>
                <w:color w:val="auto"/>
              </w:rPr>
            </w:pPr>
            <w:r w:rsidRPr="005F5B4D">
              <w:rPr>
                <w:rFonts w:ascii="Calibri" w:hAnsi="Calibri" w:cs="Calibri"/>
                <w:b/>
                <w:bCs/>
                <w:color w:val="auto"/>
              </w:rPr>
              <w:t>Overspend</w:t>
            </w:r>
          </w:p>
        </w:tc>
      </w:tr>
      <w:tr w:rsidR="005F5B4D" w:rsidRPr="005F5B4D" w14:paraId="7C6D7FDF" w14:textId="77777777" w:rsidTr="001D42C1">
        <w:trPr>
          <w:trHeight w:val="360"/>
        </w:trPr>
        <w:tc>
          <w:tcPr>
            <w:tcW w:w="2790" w:type="dxa"/>
            <w:tcBorders>
              <w:top w:val="nil"/>
              <w:left w:val="single" w:sz="8" w:space="0" w:color="auto"/>
              <w:bottom w:val="single" w:sz="4" w:space="0" w:color="auto"/>
              <w:right w:val="single" w:sz="4" w:space="0" w:color="auto"/>
            </w:tcBorders>
            <w:shd w:val="clear" w:color="auto" w:fill="auto"/>
            <w:vAlign w:val="center"/>
            <w:hideMark/>
          </w:tcPr>
          <w:p w14:paraId="5A5A6B66" w14:textId="77777777" w:rsidR="005F5B4D" w:rsidRPr="005F5B4D" w:rsidRDefault="005F5B4D" w:rsidP="005F5B4D">
            <w:pPr>
              <w:spacing w:after="0"/>
              <w:rPr>
                <w:rFonts w:ascii="Calibri" w:hAnsi="Calibri" w:cs="Calibri"/>
                <w:color w:val="auto"/>
              </w:rPr>
            </w:pPr>
            <w:r w:rsidRPr="005F5B4D">
              <w:rPr>
                <w:rFonts w:ascii="Calibri" w:hAnsi="Calibri" w:cs="Calibri"/>
                <w:color w:val="auto"/>
              </w:rPr>
              <w:t>Acacia</w:t>
            </w:r>
          </w:p>
        </w:tc>
        <w:tc>
          <w:tcPr>
            <w:tcW w:w="1437" w:type="dxa"/>
            <w:tcBorders>
              <w:top w:val="nil"/>
              <w:left w:val="single" w:sz="4" w:space="0" w:color="auto"/>
              <w:bottom w:val="single" w:sz="4" w:space="0" w:color="auto"/>
              <w:right w:val="single" w:sz="4" w:space="0" w:color="auto"/>
            </w:tcBorders>
            <w:shd w:val="clear" w:color="auto" w:fill="auto"/>
            <w:vAlign w:val="center"/>
            <w:hideMark/>
          </w:tcPr>
          <w:p w14:paraId="59D70916" w14:textId="249354F7" w:rsidR="005F5B4D" w:rsidRPr="005F5B4D" w:rsidRDefault="005F5B4D" w:rsidP="005F5B4D">
            <w:pPr>
              <w:spacing w:after="0"/>
              <w:jc w:val="right"/>
              <w:rPr>
                <w:rFonts w:ascii="Calibri" w:hAnsi="Calibri" w:cs="Calibri"/>
              </w:rPr>
            </w:pPr>
            <w:r w:rsidRPr="005F5B4D">
              <w:rPr>
                <w:rFonts w:ascii="Calibri" w:hAnsi="Calibri" w:cs="Calibri"/>
              </w:rPr>
              <w:t>£107,600</w:t>
            </w:r>
            <w:r w:rsidR="00EB2F49">
              <w:rPr>
                <w:rFonts w:ascii="Calibri" w:hAnsi="Calibri" w:cs="Calibri"/>
              </w:rPr>
              <w:t>.00</w:t>
            </w:r>
          </w:p>
        </w:tc>
        <w:tc>
          <w:tcPr>
            <w:tcW w:w="1437" w:type="dxa"/>
            <w:tcBorders>
              <w:top w:val="nil"/>
              <w:left w:val="nil"/>
              <w:bottom w:val="single" w:sz="4" w:space="0" w:color="auto"/>
              <w:right w:val="single" w:sz="4" w:space="0" w:color="auto"/>
            </w:tcBorders>
            <w:shd w:val="clear" w:color="auto" w:fill="auto"/>
            <w:vAlign w:val="center"/>
            <w:hideMark/>
          </w:tcPr>
          <w:p w14:paraId="298481D6" w14:textId="77777777" w:rsidR="005F5B4D" w:rsidRPr="005F5B4D" w:rsidRDefault="005F5B4D" w:rsidP="005F5B4D">
            <w:pPr>
              <w:spacing w:after="0"/>
              <w:jc w:val="right"/>
              <w:rPr>
                <w:rFonts w:ascii="Calibri" w:hAnsi="Calibri" w:cs="Calibri"/>
              </w:rPr>
            </w:pPr>
            <w:r w:rsidRPr="005F5B4D">
              <w:rPr>
                <w:rFonts w:ascii="Calibri" w:hAnsi="Calibri" w:cs="Calibri"/>
              </w:rPr>
              <w:t>£86,728</w:t>
            </w:r>
          </w:p>
        </w:tc>
        <w:tc>
          <w:tcPr>
            <w:tcW w:w="1276" w:type="dxa"/>
            <w:tcBorders>
              <w:top w:val="nil"/>
              <w:left w:val="nil"/>
              <w:bottom w:val="single" w:sz="4" w:space="0" w:color="auto"/>
              <w:right w:val="single" w:sz="4" w:space="0" w:color="auto"/>
            </w:tcBorders>
            <w:shd w:val="clear" w:color="auto" w:fill="auto"/>
            <w:vAlign w:val="center"/>
            <w:hideMark/>
          </w:tcPr>
          <w:p w14:paraId="5B75B759" w14:textId="77777777" w:rsidR="005F5B4D" w:rsidRPr="005F5B4D" w:rsidRDefault="005F5B4D" w:rsidP="005F5B4D">
            <w:pPr>
              <w:spacing w:after="0"/>
              <w:jc w:val="right"/>
              <w:rPr>
                <w:rFonts w:ascii="Calibri" w:hAnsi="Calibri" w:cs="Calibri"/>
              </w:rPr>
            </w:pPr>
            <w:r w:rsidRPr="005F5B4D">
              <w:rPr>
                <w:rFonts w:ascii="Calibri" w:hAnsi="Calibri" w:cs="Calibri"/>
              </w:rPr>
              <w:t>£0</w:t>
            </w:r>
          </w:p>
        </w:tc>
        <w:tc>
          <w:tcPr>
            <w:tcW w:w="1559" w:type="dxa"/>
            <w:tcBorders>
              <w:top w:val="nil"/>
              <w:left w:val="nil"/>
              <w:bottom w:val="single" w:sz="4" w:space="0" w:color="auto"/>
              <w:right w:val="single" w:sz="4" w:space="0" w:color="auto"/>
            </w:tcBorders>
            <w:shd w:val="clear" w:color="auto" w:fill="auto"/>
            <w:vAlign w:val="center"/>
            <w:hideMark/>
          </w:tcPr>
          <w:p w14:paraId="4E07AB8C" w14:textId="77777777" w:rsidR="005F5B4D" w:rsidRPr="005F5B4D" w:rsidRDefault="005F5B4D" w:rsidP="005F5B4D">
            <w:pPr>
              <w:spacing w:after="0"/>
              <w:jc w:val="right"/>
              <w:rPr>
                <w:rFonts w:ascii="Calibri" w:hAnsi="Calibri" w:cs="Calibri"/>
              </w:rPr>
            </w:pPr>
            <w:r w:rsidRPr="005F5B4D">
              <w:rPr>
                <w:rFonts w:ascii="Calibri" w:hAnsi="Calibri" w:cs="Calibri"/>
              </w:rPr>
              <w:t>£20,872</w:t>
            </w:r>
          </w:p>
        </w:tc>
        <w:tc>
          <w:tcPr>
            <w:tcW w:w="1424" w:type="dxa"/>
            <w:tcBorders>
              <w:top w:val="single" w:sz="4" w:space="0" w:color="auto"/>
              <w:left w:val="nil"/>
              <w:bottom w:val="nil"/>
              <w:right w:val="single" w:sz="8" w:space="0" w:color="auto"/>
            </w:tcBorders>
            <w:shd w:val="clear" w:color="auto" w:fill="auto"/>
            <w:vAlign w:val="center"/>
            <w:hideMark/>
          </w:tcPr>
          <w:p w14:paraId="174CE803" w14:textId="77777777" w:rsidR="005F5B4D" w:rsidRPr="005F5B4D" w:rsidRDefault="005F5B4D" w:rsidP="005F5B4D">
            <w:pPr>
              <w:spacing w:after="0"/>
              <w:jc w:val="center"/>
              <w:rPr>
                <w:rFonts w:ascii="Calibri" w:hAnsi="Calibri" w:cs="Calibri"/>
                <w:b/>
                <w:bCs/>
                <w:color w:val="auto"/>
              </w:rPr>
            </w:pPr>
            <w:r w:rsidRPr="005F5B4D">
              <w:rPr>
                <w:rFonts w:ascii="Calibri" w:hAnsi="Calibri" w:cs="Calibri"/>
                <w:b/>
                <w:bCs/>
                <w:color w:val="auto"/>
              </w:rPr>
              <w:t> </w:t>
            </w:r>
          </w:p>
        </w:tc>
      </w:tr>
      <w:tr w:rsidR="005F5B4D" w:rsidRPr="005F5B4D" w14:paraId="59144A71" w14:textId="77777777" w:rsidTr="001D42C1">
        <w:trPr>
          <w:trHeight w:val="310"/>
        </w:trPr>
        <w:tc>
          <w:tcPr>
            <w:tcW w:w="2790" w:type="dxa"/>
            <w:tcBorders>
              <w:top w:val="nil"/>
              <w:left w:val="single" w:sz="8" w:space="0" w:color="auto"/>
              <w:bottom w:val="single" w:sz="4" w:space="0" w:color="auto"/>
              <w:right w:val="single" w:sz="4" w:space="0" w:color="auto"/>
            </w:tcBorders>
            <w:shd w:val="clear" w:color="auto" w:fill="auto"/>
            <w:noWrap/>
            <w:vAlign w:val="center"/>
            <w:hideMark/>
          </w:tcPr>
          <w:p w14:paraId="0FCF847A" w14:textId="77777777" w:rsidR="005F5B4D" w:rsidRPr="005F5B4D" w:rsidRDefault="005F5B4D" w:rsidP="005F5B4D">
            <w:pPr>
              <w:spacing w:after="0"/>
              <w:rPr>
                <w:rFonts w:ascii="Calibri" w:hAnsi="Calibri" w:cs="Calibri"/>
                <w:color w:val="auto"/>
              </w:rPr>
            </w:pPr>
            <w:r w:rsidRPr="005F5B4D">
              <w:rPr>
                <w:rFonts w:ascii="Calibri" w:hAnsi="Calibri" w:cs="Calibri"/>
                <w:color w:val="auto"/>
              </w:rPr>
              <w:t xml:space="preserve">A2 - Simon House </w:t>
            </w:r>
          </w:p>
        </w:tc>
        <w:tc>
          <w:tcPr>
            <w:tcW w:w="1437" w:type="dxa"/>
            <w:tcBorders>
              <w:top w:val="nil"/>
              <w:left w:val="single" w:sz="4" w:space="0" w:color="auto"/>
              <w:bottom w:val="single" w:sz="4" w:space="0" w:color="auto"/>
              <w:right w:val="single" w:sz="4" w:space="0" w:color="auto"/>
            </w:tcBorders>
            <w:shd w:val="clear" w:color="auto" w:fill="auto"/>
            <w:noWrap/>
            <w:vAlign w:val="center"/>
            <w:hideMark/>
          </w:tcPr>
          <w:p w14:paraId="2719F68B" w14:textId="77777777" w:rsidR="005F5B4D" w:rsidRPr="005F5B4D" w:rsidRDefault="005F5B4D" w:rsidP="005F5B4D">
            <w:pPr>
              <w:spacing w:after="0"/>
              <w:jc w:val="right"/>
              <w:rPr>
                <w:rFonts w:ascii="Calibri" w:hAnsi="Calibri" w:cs="Calibri"/>
              </w:rPr>
            </w:pPr>
            <w:r w:rsidRPr="005F5B4D">
              <w:rPr>
                <w:rFonts w:ascii="Calibri" w:hAnsi="Calibri" w:cs="Calibri"/>
              </w:rPr>
              <w:t>£50,000.00</w:t>
            </w:r>
          </w:p>
        </w:tc>
        <w:tc>
          <w:tcPr>
            <w:tcW w:w="1437" w:type="dxa"/>
            <w:tcBorders>
              <w:top w:val="single" w:sz="4" w:space="0" w:color="auto"/>
              <w:left w:val="nil"/>
              <w:bottom w:val="nil"/>
              <w:right w:val="nil"/>
            </w:tcBorders>
            <w:shd w:val="clear" w:color="auto" w:fill="auto"/>
            <w:noWrap/>
            <w:vAlign w:val="center"/>
            <w:hideMark/>
          </w:tcPr>
          <w:p w14:paraId="2A13EB25" w14:textId="77777777" w:rsidR="005F5B4D" w:rsidRPr="005F5B4D" w:rsidRDefault="005F5B4D" w:rsidP="005F5B4D">
            <w:pPr>
              <w:spacing w:after="0"/>
              <w:jc w:val="right"/>
              <w:rPr>
                <w:rFonts w:ascii="Calibri" w:hAnsi="Calibri" w:cs="Calibri"/>
                <w:color w:val="auto"/>
              </w:rPr>
            </w:pPr>
            <w:r w:rsidRPr="005F5B4D">
              <w:rPr>
                <w:rFonts w:ascii="Calibri" w:hAnsi="Calibri" w:cs="Calibri"/>
                <w:color w:val="auto"/>
              </w:rPr>
              <w:t>£83,333.35</w:t>
            </w:r>
          </w:p>
        </w:tc>
        <w:tc>
          <w:tcPr>
            <w:tcW w:w="1276" w:type="dxa"/>
            <w:tcBorders>
              <w:top w:val="single" w:sz="4" w:space="0" w:color="auto"/>
              <w:left w:val="single" w:sz="4" w:space="0" w:color="auto"/>
              <w:bottom w:val="nil"/>
              <w:right w:val="nil"/>
            </w:tcBorders>
            <w:shd w:val="clear" w:color="auto" w:fill="auto"/>
            <w:noWrap/>
            <w:vAlign w:val="center"/>
            <w:hideMark/>
          </w:tcPr>
          <w:p w14:paraId="5930AA34" w14:textId="77777777" w:rsidR="005F5B4D" w:rsidRPr="005F5B4D" w:rsidRDefault="005F5B4D" w:rsidP="005F5B4D">
            <w:pPr>
              <w:spacing w:after="0"/>
              <w:jc w:val="right"/>
              <w:rPr>
                <w:rFonts w:ascii="Calibri" w:hAnsi="Calibri" w:cs="Calibri"/>
                <w:color w:val="auto"/>
              </w:rPr>
            </w:pPr>
            <w:r w:rsidRPr="005F5B4D">
              <w:rPr>
                <w:rFonts w:ascii="Calibri" w:hAnsi="Calibri" w:cs="Calibri"/>
                <w:color w:val="auto"/>
              </w:rPr>
              <w:t xml:space="preserve">0.00 </w:t>
            </w:r>
          </w:p>
        </w:tc>
        <w:tc>
          <w:tcPr>
            <w:tcW w:w="1559" w:type="dxa"/>
            <w:tcBorders>
              <w:top w:val="single" w:sz="4" w:space="0" w:color="auto"/>
              <w:left w:val="single" w:sz="4" w:space="0" w:color="auto"/>
              <w:bottom w:val="nil"/>
              <w:right w:val="nil"/>
            </w:tcBorders>
            <w:shd w:val="clear" w:color="auto" w:fill="auto"/>
            <w:noWrap/>
            <w:vAlign w:val="center"/>
            <w:hideMark/>
          </w:tcPr>
          <w:p w14:paraId="3AFE7CD6" w14:textId="77777777" w:rsidR="005F5B4D" w:rsidRPr="005F5B4D" w:rsidRDefault="005F5B4D" w:rsidP="005F5B4D">
            <w:pPr>
              <w:spacing w:after="0"/>
              <w:jc w:val="right"/>
              <w:rPr>
                <w:rFonts w:ascii="Calibri" w:hAnsi="Calibri" w:cs="Calibri"/>
                <w:color w:val="auto"/>
              </w:rPr>
            </w:pPr>
            <w:r w:rsidRPr="005F5B4D">
              <w:rPr>
                <w:rFonts w:ascii="Calibri" w:hAnsi="Calibri" w:cs="Calibri"/>
                <w:color w:val="auto"/>
              </w:rPr>
              <w:t> </w:t>
            </w:r>
          </w:p>
        </w:tc>
        <w:tc>
          <w:tcPr>
            <w:tcW w:w="1424" w:type="dxa"/>
            <w:tcBorders>
              <w:top w:val="single" w:sz="4" w:space="0" w:color="auto"/>
              <w:left w:val="single" w:sz="4" w:space="0" w:color="auto"/>
              <w:bottom w:val="nil"/>
              <w:right w:val="single" w:sz="8" w:space="0" w:color="auto"/>
            </w:tcBorders>
            <w:shd w:val="clear" w:color="auto" w:fill="auto"/>
            <w:noWrap/>
            <w:vAlign w:val="center"/>
            <w:hideMark/>
          </w:tcPr>
          <w:p w14:paraId="5007DF74" w14:textId="77777777" w:rsidR="005F5B4D" w:rsidRPr="005F5B4D" w:rsidRDefault="005F5B4D" w:rsidP="005F5B4D">
            <w:pPr>
              <w:spacing w:after="0"/>
              <w:jc w:val="right"/>
              <w:rPr>
                <w:rFonts w:ascii="Calibri" w:hAnsi="Calibri" w:cs="Calibri"/>
                <w:color w:val="auto"/>
              </w:rPr>
            </w:pPr>
            <w:r w:rsidRPr="005F5B4D">
              <w:rPr>
                <w:rFonts w:ascii="Calibri" w:hAnsi="Calibri" w:cs="Calibri"/>
                <w:color w:val="FF0000"/>
              </w:rPr>
              <w:t xml:space="preserve">-33,333.35 </w:t>
            </w:r>
          </w:p>
        </w:tc>
      </w:tr>
      <w:tr w:rsidR="005F5B4D" w:rsidRPr="005F5B4D" w14:paraId="0228D4F9" w14:textId="77777777" w:rsidTr="001D42C1">
        <w:trPr>
          <w:trHeight w:val="320"/>
        </w:trPr>
        <w:tc>
          <w:tcPr>
            <w:tcW w:w="2790" w:type="dxa"/>
            <w:tcBorders>
              <w:top w:val="nil"/>
              <w:left w:val="single" w:sz="8" w:space="0" w:color="auto"/>
              <w:bottom w:val="nil"/>
              <w:right w:val="nil"/>
            </w:tcBorders>
            <w:shd w:val="clear" w:color="auto" w:fill="auto"/>
            <w:noWrap/>
            <w:vAlign w:val="center"/>
            <w:hideMark/>
          </w:tcPr>
          <w:p w14:paraId="7A78C111" w14:textId="77777777" w:rsidR="005F5B4D" w:rsidRPr="005F5B4D" w:rsidRDefault="005F5B4D" w:rsidP="005F5B4D">
            <w:pPr>
              <w:spacing w:after="0"/>
              <w:rPr>
                <w:rFonts w:ascii="Calibri" w:hAnsi="Calibri" w:cs="Calibri"/>
                <w:color w:val="auto"/>
              </w:rPr>
            </w:pPr>
            <w:r w:rsidRPr="005F5B4D">
              <w:rPr>
                <w:rFonts w:ascii="Calibri" w:hAnsi="Calibri" w:cs="Calibri"/>
                <w:color w:val="auto"/>
              </w:rPr>
              <w:t>A2 - Matilda House</w:t>
            </w:r>
          </w:p>
        </w:tc>
        <w:tc>
          <w:tcPr>
            <w:tcW w:w="1437" w:type="dxa"/>
            <w:tcBorders>
              <w:top w:val="nil"/>
              <w:left w:val="nil"/>
              <w:bottom w:val="nil"/>
              <w:right w:val="nil"/>
            </w:tcBorders>
            <w:shd w:val="clear" w:color="auto" w:fill="auto"/>
            <w:noWrap/>
            <w:vAlign w:val="center"/>
            <w:hideMark/>
          </w:tcPr>
          <w:p w14:paraId="05939839" w14:textId="77777777" w:rsidR="005F5B4D" w:rsidRPr="005F5B4D" w:rsidRDefault="005F5B4D" w:rsidP="005F5B4D">
            <w:pPr>
              <w:spacing w:after="0"/>
              <w:jc w:val="right"/>
              <w:rPr>
                <w:rFonts w:ascii="Calibri" w:hAnsi="Calibri" w:cs="Calibri"/>
              </w:rPr>
            </w:pPr>
            <w:r w:rsidRPr="005F5B4D">
              <w:rPr>
                <w:rFonts w:ascii="Calibri" w:hAnsi="Calibri" w:cs="Calibri"/>
              </w:rPr>
              <w:t>£168,750.00</w:t>
            </w:r>
          </w:p>
        </w:tc>
        <w:tc>
          <w:tcPr>
            <w:tcW w:w="1437" w:type="dxa"/>
            <w:tcBorders>
              <w:top w:val="single" w:sz="4" w:space="0" w:color="auto"/>
              <w:left w:val="nil"/>
              <w:bottom w:val="nil"/>
              <w:right w:val="nil"/>
            </w:tcBorders>
            <w:shd w:val="clear" w:color="auto" w:fill="auto"/>
            <w:noWrap/>
            <w:vAlign w:val="center"/>
            <w:hideMark/>
          </w:tcPr>
          <w:p w14:paraId="0A437DAE" w14:textId="77777777" w:rsidR="005F5B4D" w:rsidRPr="005F5B4D" w:rsidRDefault="005F5B4D" w:rsidP="005F5B4D">
            <w:pPr>
              <w:spacing w:after="0"/>
              <w:jc w:val="right"/>
              <w:rPr>
                <w:rFonts w:ascii="Calibri" w:hAnsi="Calibri" w:cs="Calibri"/>
                <w:color w:val="auto"/>
              </w:rPr>
            </w:pPr>
            <w:r w:rsidRPr="005F5B4D">
              <w:rPr>
                <w:rFonts w:ascii="Calibri" w:hAnsi="Calibri" w:cs="Calibri"/>
                <w:color w:val="auto"/>
              </w:rPr>
              <w:t>£131,250.00</w:t>
            </w:r>
          </w:p>
        </w:tc>
        <w:tc>
          <w:tcPr>
            <w:tcW w:w="1276" w:type="dxa"/>
            <w:tcBorders>
              <w:top w:val="single" w:sz="4" w:space="0" w:color="auto"/>
              <w:left w:val="single" w:sz="4" w:space="0" w:color="auto"/>
              <w:bottom w:val="nil"/>
              <w:right w:val="nil"/>
            </w:tcBorders>
            <w:shd w:val="clear" w:color="auto" w:fill="auto"/>
            <w:noWrap/>
            <w:vAlign w:val="center"/>
            <w:hideMark/>
          </w:tcPr>
          <w:p w14:paraId="5A392DD0" w14:textId="77777777" w:rsidR="005F5B4D" w:rsidRPr="005F5B4D" w:rsidRDefault="005F5B4D" w:rsidP="005F5B4D">
            <w:pPr>
              <w:spacing w:after="0"/>
              <w:jc w:val="right"/>
              <w:rPr>
                <w:rFonts w:ascii="Calibri" w:hAnsi="Calibri" w:cs="Calibri"/>
                <w:color w:val="auto"/>
              </w:rPr>
            </w:pPr>
            <w:r w:rsidRPr="005F5B4D">
              <w:rPr>
                <w:rFonts w:ascii="Calibri" w:hAnsi="Calibri" w:cs="Calibri"/>
                <w:color w:val="auto"/>
              </w:rPr>
              <w:t xml:space="preserve">0.00 </w:t>
            </w:r>
          </w:p>
        </w:tc>
        <w:tc>
          <w:tcPr>
            <w:tcW w:w="1559" w:type="dxa"/>
            <w:tcBorders>
              <w:top w:val="single" w:sz="4" w:space="0" w:color="auto"/>
              <w:left w:val="single" w:sz="4" w:space="0" w:color="auto"/>
              <w:bottom w:val="nil"/>
              <w:right w:val="nil"/>
            </w:tcBorders>
            <w:shd w:val="clear" w:color="auto" w:fill="auto"/>
            <w:noWrap/>
            <w:vAlign w:val="center"/>
            <w:hideMark/>
          </w:tcPr>
          <w:p w14:paraId="5E9F67D7" w14:textId="77777777" w:rsidR="005F5B4D" w:rsidRPr="005F5B4D" w:rsidRDefault="005F5B4D" w:rsidP="005F5B4D">
            <w:pPr>
              <w:spacing w:after="0"/>
              <w:jc w:val="right"/>
              <w:rPr>
                <w:rFonts w:ascii="Calibri" w:hAnsi="Calibri" w:cs="Calibri"/>
                <w:color w:val="auto"/>
              </w:rPr>
            </w:pPr>
            <w:r w:rsidRPr="005F5B4D">
              <w:rPr>
                <w:rFonts w:ascii="Calibri" w:hAnsi="Calibri" w:cs="Calibri"/>
                <w:color w:val="auto"/>
              </w:rPr>
              <w:t xml:space="preserve">37,500.00 </w:t>
            </w:r>
          </w:p>
        </w:tc>
        <w:tc>
          <w:tcPr>
            <w:tcW w:w="1424" w:type="dxa"/>
            <w:tcBorders>
              <w:top w:val="single" w:sz="4" w:space="0" w:color="auto"/>
              <w:left w:val="single" w:sz="4" w:space="0" w:color="auto"/>
              <w:bottom w:val="nil"/>
              <w:right w:val="single" w:sz="8" w:space="0" w:color="auto"/>
            </w:tcBorders>
            <w:shd w:val="clear" w:color="auto" w:fill="auto"/>
            <w:noWrap/>
            <w:vAlign w:val="center"/>
            <w:hideMark/>
          </w:tcPr>
          <w:p w14:paraId="245F96CC" w14:textId="77777777" w:rsidR="005F5B4D" w:rsidRPr="005F5B4D" w:rsidRDefault="005F5B4D" w:rsidP="005F5B4D">
            <w:pPr>
              <w:spacing w:after="0"/>
              <w:jc w:val="right"/>
              <w:rPr>
                <w:rFonts w:ascii="Calibri" w:hAnsi="Calibri" w:cs="Calibri"/>
                <w:color w:val="auto"/>
              </w:rPr>
            </w:pPr>
            <w:r w:rsidRPr="005F5B4D">
              <w:rPr>
                <w:rFonts w:ascii="Calibri" w:hAnsi="Calibri" w:cs="Calibri"/>
                <w:color w:val="auto"/>
              </w:rPr>
              <w:t> </w:t>
            </w:r>
          </w:p>
        </w:tc>
      </w:tr>
      <w:tr w:rsidR="005F5B4D" w:rsidRPr="005F5B4D" w14:paraId="574D393F" w14:textId="77777777" w:rsidTr="001D42C1">
        <w:trPr>
          <w:trHeight w:val="310"/>
        </w:trPr>
        <w:tc>
          <w:tcPr>
            <w:tcW w:w="279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737F0528" w14:textId="77777777" w:rsidR="005F5B4D" w:rsidRPr="005F5B4D" w:rsidRDefault="005F5B4D" w:rsidP="005F5B4D">
            <w:pPr>
              <w:spacing w:after="0"/>
              <w:rPr>
                <w:rFonts w:ascii="Calibri" w:hAnsi="Calibri" w:cs="Calibri"/>
                <w:color w:val="auto"/>
              </w:rPr>
            </w:pPr>
            <w:r w:rsidRPr="005F5B4D">
              <w:rPr>
                <w:rFonts w:ascii="Calibri" w:hAnsi="Calibri" w:cs="Calibri"/>
                <w:color w:val="auto"/>
              </w:rPr>
              <w:t>SWEP</w:t>
            </w:r>
          </w:p>
        </w:tc>
        <w:tc>
          <w:tcPr>
            <w:tcW w:w="14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F5D248" w14:textId="77777777" w:rsidR="005F5B4D" w:rsidRPr="005F5B4D" w:rsidRDefault="005F5B4D" w:rsidP="005F5B4D">
            <w:pPr>
              <w:spacing w:after="0"/>
              <w:jc w:val="right"/>
              <w:rPr>
                <w:rFonts w:ascii="Calibri" w:hAnsi="Calibri" w:cs="Calibri"/>
              </w:rPr>
            </w:pPr>
            <w:r w:rsidRPr="005F5B4D">
              <w:rPr>
                <w:rFonts w:ascii="Calibri" w:hAnsi="Calibri" w:cs="Calibri"/>
              </w:rPr>
              <w:t>£30,000.00</w:t>
            </w:r>
          </w:p>
        </w:tc>
        <w:tc>
          <w:tcPr>
            <w:tcW w:w="1437" w:type="dxa"/>
            <w:tcBorders>
              <w:top w:val="single" w:sz="4" w:space="0" w:color="auto"/>
              <w:left w:val="nil"/>
              <w:bottom w:val="nil"/>
              <w:right w:val="nil"/>
            </w:tcBorders>
            <w:shd w:val="clear" w:color="auto" w:fill="auto"/>
            <w:noWrap/>
            <w:vAlign w:val="center"/>
            <w:hideMark/>
          </w:tcPr>
          <w:p w14:paraId="73910392" w14:textId="77777777" w:rsidR="005F5B4D" w:rsidRPr="005F5B4D" w:rsidRDefault="005F5B4D" w:rsidP="005F5B4D">
            <w:pPr>
              <w:spacing w:after="0"/>
              <w:jc w:val="right"/>
              <w:rPr>
                <w:rFonts w:ascii="Calibri" w:hAnsi="Calibri" w:cs="Calibri"/>
                <w:color w:val="auto"/>
              </w:rPr>
            </w:pPr>
            <w:r w:rsidRPr="005F5B4D">
              <w:rPr>
                <w:rFonts w:ascii="Calibri" w:hAnsi="Calibri" w:cs="Calibri"/>
                <w:color w:val="auto"/>
              </w:rPr>
              <w:t>£50,294.00</w:t>
            </w:r>
          </w:p>
        </w:tc>
        <w:tc>
          <w:tcPr>
            <w:tcW w:w="1276" w:type="dxa"/>
            <w:tcBorders>
              <w:top w:val="single" w:sz="4" w:space="0" w:color="auto"/>
              <w:left w:val="single" w:sz="4" w:space="0" w:color="auto"/>
              <w:bottom w:val="nil"/>
              <w:right w:val="nil"/>
            </w:tcBorders>
            <w:shd w:val="clear" w:color="auto" w:fill="auto"/>
            <w:noWrap/>
            <w:vAlign w:val="center"/>
            <w:hideMark/>
          </w:tcPr>
          <w:p w14:paraId="1D42FC24" w14:textId="77777777" w:rsidR="005F5B4D" w:rsidRPr="005F5B4D" w:rsidRDefault="005F5B4D" w:rsidP="005F5B4D">
            <w:pPr>
              <w:spacing w:after="0"/>
              <w:jc w:val="right"/>
              <w:rPr>
                <w:rFonts w:ascii="Calibri" w:hAnsi="Calibri" w:cs="Calibri"/>
                <w:color w:val="auto"/>
              </w:rPr>
            </w:pPr>
            <w:r w:rsidRPr="005F5B4D">
              <w:rPr>
                <w:rFonts w:ascii="Calibri" w:hAnsi="Calibri" w:cs="Calibri"/>
                <w:color w:val="auto"/>
              </w:rPr>
              <w:t xml:space="preserve">0.00 </w:t>
            </w:r>
          </w:p>
        </w:tc>
        <w:tc>
          <w:tcPr>
            <w:tcW w:w="1559" w:type="dxa"/>
            <w:tcBorders>
              <w:top w:val="single" w:sz="4" w:space="0" w:color="auto"/>
              <w:left w:val="single" w:sz="4" w:space="0" w:color="auto"/>
              <w:bottom w:val="nil"/>
              <w:right w:val="nil"/>
            </w:tcBorders>
            <w:shd w:val="clear" w:color="auto" w:fill="auto"/>
            <w:noWrap/>
            <w:vAlign w:val="center"/>
            <w:hideMark/>
          </w:tcPr>
          <w:p w14:paraId="2DCFAD8C" w14:textId="77777777" w:rsidR="005F5B4D" w:rsidRPr="005F5B4D" w:rsidRDefault="005F5B4D" w:rsidP="005F5B4D">
            <w:pPr>
              <w:spacing w:after="0"/>
              <w:jc w:val="right"/>
              <w:rPr>
                <w:rFonts w:ascii="Calibri" w:hAnsi="Calibri" w:cs="Calibri"/>
                <w:color w:val="auto"/>
              </w:rPr>
            </w:pPr>
            <w:r w:rsidRPr="005F5B4D">
              <w:rPr>
                <w:rFonts w:ascii="Calibri" w:hAnsi="Calibri" w:cs="Calibri"/>
                <w:color w:val="auto"/>
              </w:rPr>
              <w:t> </w:t>
            </w:r>
          </w:p>
        </w:tc>
        <w:tc>
          <w:tcPr>
            <w:tcW w:w="1424" w:type="dxa"/>
            <w:tcBorders>
              <w:top w:val="single" w:sz="4" w:space="0" w:color="auto"/>
              <w:left w:val="single" w:sz="4" w:space="0" w:color="auto"/>
              <w:bottom w:val="nil"/>
              <w:right w:val="single" w:sz="8" w:space="0" w:color="auto"/>
            </w:tcBorders>
            <w:shd w:val="clear" w:color="auto" w:fill="auto"/>
            <w:noWrap/>
            <w:vAlign w:val="center"/>
            <w:hideMark/>
          </w:tcPr>
          <w:p w14:paraId="13419DBE" w14:textId="77777777" w:rsidR="005F5B4D" w:rsidRPr="005F5B4D" w:rsidRDefault="005F5B4D" w:rsidP="005F5B4D">
            <w:pPr>
              <w:spacing w:after="0"/>
              <w:jc w:val="right"/>
              <w:rPr>
                <w:rFonts w:ascii="Calibri" w:hAnsi="Calibri" w:cs="Calibri"/>
                <w:color w:val="auto"/>
              </w:rPr>
            </w:pPr>
            <w:r w:rsidRPr="005F5B4D">
              <w:rPr>
                <w:rFonts w:ascii="Calibri" w:hAnsi="Calibri" w:cs="Calibri"/>
                <w:color w:val="FF0000"/>
              </w:rPr>
              <w:t xml:space="preserve">-20,294.00 </w:t>
            </w:r>
          </w:p>
        </w:tc>
      </w:tr>
      <w:tr w:rsidR="005F5B4D" w:rsidRPr="005F5B4D" w14:paraId="3FD7D710" w14:textId="77777777" w:rsidTr="001D42C1">
        <w:trPr>
          <w:trHeight w:val="310"/>
        </w:trPr>
        <w:tc>
          <w:tcPr>
            <w:tcW w:w="2790" w:type="dxa"/>
            <w:tcBorders>
              <w:top w:val="nil"/>
              <w:left w:val="single" w:sz="8" w:space="0" w:color="auto"/>
              <w:bottom w:val="single" w:sz="4" w:space="0" w:color="auto"/>
              <w:right w:val="single" w:sz="4" w:space="0" w:color="auto"/>
            </w:tcBorders>
            <w:shd w:val="clear" w:color="auto" w:fill="auto"/>
            <w:noWrap/>
            <w:vAlign w:val="center"/>
            <w:hideMark/>
          </w:tcPr>
          <w:p w14:paraId="4899FAB5" w14:textId="77777777" w:rsidR="005F5B4D" w:rsidRPr="005F5B4D" w:rsidRDefault="005F5B4D" w:rsidP="005F5B4D">
            <w:pPr>
              <w:spacing w:after="0"/>
              <w:rPr>
                <w:rFonts w:ascii="Calibri" w:hAnsi="Calibri" w:cs="Calibri"/>
                <w:color w:val="auto"/>
              </w:rPr>
            </w:pPr>
            <w:r w:rsidRPr="005F5B4D">
              <w:rPr>
                <w:rFonts w:ascii="Calibri" w:hAnsi="Calibri" w:cs="Calibri"/>
                <w:color w:val="auto"/>
              </w:rPr>
              <w:t>Welfare Reform Team - OCC</w:t>
            </w:r>
          </w:p>
        </w:tc>
        <w:tc>
          <w:tcPr>
            <w:tcW w:w="1437" w:type="dxa"/>
            <w:tcBorders>
              <w:top w:val="nil"/>
              <w:left w:val="nil"/>
              <w:bottom w:val="single" w:sz="4" w:space="0" w:color="auto"/>
              <w:right w:val="single" w:sz="4" w:space="0" w:color="auto"/>
            </w:tcBorders>
            <w:shd w:val="clear" w:color="auto" w:fill="auto"/>
            <w:noWrap/>
            <w:vAlign w:val="center"/>
            <w:hideMark/>
          </w:tcPr>
          <w:p w14:paraId="5633BCE8" w14:textId="77777777" w:rsidR="005F5B4D" w:rsidRPr="005F5B4D" w:rsidRDefault="005F5B4D" w:rsidP="005F5B4D">
            <w:pPr>
              <w:spacing w:after="0"/>
              <w:jc w:val="right"/>
              <w:rPr>
                <w:rFonts w:ascii="Calibri" w:hAnsi="Calibri" w:cs="Calibri"/>
              </w:rPr>
            </w:pPr>
            <w:r w:rsidRPr="005F5B4D">
              <w:rPr>
                <w:rFonts w:ascii="Calibri" w:hAnsi="Calibri" w:cs="Calibri"/>
              </w:rPr>
              <w:t>£82,000.00</w:t>
            </w:r>
          </w:p>
        </w:tc>
        <w:tc>
          <w:tcPr>
            <w:tcW w:w="1437" w:type="dxa"/>
            <w:tcBorders>
              <w:top w:val="single" w:sz="4" w:space="0" w:color="auto"/>
              <w:left w:val="nil"/>
              <w:bottom w:val="nil"/>
              <w:right w:val="nil"/>
            </w:tcBorders>
            <w:shd w:val="clear" w:color="auto" w:fill="auto"/>
            <w:noWrap/>
            <w:vAlign w:val="center"/>
            <w:hideMark/>
          </w:tcPr>
          <w:p w14:paraId="19E2F13E" w14:textId="77777777" w:rsidR="005F5B4D" w:rsidRPr="005F5B4D" w:rsidRDefault="005F5B4D" w:rsidP="005F5B4D">
            <w:pPr>
              <w:spacing w:after="0"/>
              <w:jc w:val="right"/>
              <w:rPr>
                <w:rFonts w:ascii="Calibri" w:hAnsi="Calibri" w:cs="Calibri"/>
                <w:color w:val="auto"/>
              </w:rPr>
            </w:pPr>
            <w:r w:rsidRPr="005F5B4D">
              <w:rPr>
                <w:rFonts w:ascii="Calibri" w:hAnsi="Calibri" w:cs="Calibri"/>
                <w:color w:val="auto"/>
              </w:rPr>
              <w:t>£83,379.00</w:t>
            </w:r>
          </w:p>
        </w:tc>
        <w:tc>
          <w:tcPr>
            <w:tcW w:w="1276" w:type="dxa"/>
            <w:tcBorders>
              <w:top w:val="single" w:sz="4" w:space="0" w:color="auto"/>
              <w:left w:val="single" w:sz="4" w:space="0" w:color="auto"/>
              <w:bottom w:val="nil"/>
              <w:right w:val="nil"/>
            </w:tcBorders>
            <w:shd w:val="clear" w:color="auto" w:fill="auto"/>
            <w:noWrap/>
            <w:vAlign w:val="center"/>
            <w:hideMark/>
          </w:tcPr>
          <w:p w14:paraId="324D8CA6" w14:textId="77777777" w:rsidR="005F5B4D" w:rsidRPr="005F5B4D" w:rsidRDefault="005F5B4D" w:rsidP="005F5B4D">
            <w:pPr>
              <w:spacing w:after="0"/>
              <w:jc w:val="right"/>
              <w:rPr>
                <w:rFonts w:ascii="Calibri" w:hAnsi="Calibri" w:cs="Calibri"/>
                <w:color w:val="auto"/>
              </w:rPr>
            </w:pPr>
            <w:r w:rsidRPr="005F5B4D">
              <w:rPr>
                <w:rFonts w:ascii="Calibri" w:hAnsi="Calibri" w:cs="Calibri"/>
                <w:color w:val="auto"/>
              </w:rPr>
              <w:t xml:space="preserve">0.00 </w:t>
            </w:r>
          </w:p>
        </w:tc>
        <w:tc>
          <w:tcPr>
            <w:tcW w:w="1559" w:type="dxa"/>
            <w:tcBorders>
              <w:top w:val="single" w:sz="4" w:space="0" w:color="auto"/>
              <w:left w:val="single" w:sz="4" w:space="0" w:color="auto"/>
              <w:bottom w:val="nil"/>
              <w:right w:val="nil"/>
            </w:tcBorders>
            <w:shd w:val="clear" w:color="auto" w:fill="auto"/>
            <w:noWrap/>
            <w:vAlign w:val="center"/>
            <w:hideMark/>
          </w:tcPr>
          <w:p w14:paraId="64198DD3" w14:textId="77777777" w:rsidR="005F5B4D" w:rsidRPr="005F5B4D" w:rsidRDefault="005F5B4D" w:rsidP="005F5B4D">
            <w:pPr>
              <w:spacing w:after="0"/>
              <w:jc w:val="right"/>
              <w:rPr>
                <w:rFonts w:ascii="Calibri" w:hAnsi="Calibri" w:cs="Calibri"/>
                <w:color w:val="auto"/>
              </w:rPr>
            </w:pPr>
            <w:r w:rsidRPr="005F5B4D">
              <w:rPr>
                <w:rFonts w:ascii="Calibri" w:hAnsi="Calibri" w:cs="Calibri"/>
                <w:color w:val="auto"/>
              </w:rPr>
              <w:t> </w:t>
            </w:r>
          </w:p>
        </w:tc>
        <w:tc>
          <w:tcPr>
            <w:tcW w:w="1424" w:type="dxa"/>
            <w:tcBorders>
              <w:top w:val="single" w:sz="4" w:space="0" w:color="auto"/>
              <w:left w:val="single" w:sz="4" w:space="0" w:color="auto"/>
              <w:bottom w:val="nil"/>
              <w:right w:val="single" w:sz="8" w:space="0" w:color="auto"/>
            </w:tcBorders>
            <w:shd w:val="clear" w:color="auto" w:fill="auto"/>
            <w:noWrap/>
            <w:vAlign w:val="center"/>
            <w:hideMark/>
          </w:tcPr>
          <w:p w14:paraId="4362C978" w14:textId="77777777" w:rsidR="005F5B4D" w:rsidRPr="005F5B4D" w:rsidRDefault="005F5B4D" w:rsidP="005F5B4D">
            <w:pPr>
              <w:spacing w:after="0"/>
              <w:jc w:val="right"/>
              <w:rPr>
                <w:rFonts w:ascii="Calibri" w:hAnsi="Calibri" w:cs="Calibri"/>
                <w:color w:val="auto"/>
              </w:rPr>
            </w:pPr>
            <w:r w:rsidRPr="005F5B4D">
              <w:rPr>
                <w:rFonts w:ascii="Calibri" w:hAnsi="Calibri" w:cs="Calibri"/>
                <w:color w:val="FF0000"/>
              </w:rPr>
              <w:t xml:space="preserve">-1,379.00 </w:t>
            </w:r>
          </w:p>
        </w:tc>
      </w:tr>
      <w:tr w:rsidR="005F5B4D" w:rsidRPr="005F5B4D" w14:paraId="7FCBF3F8" w14:textId="77777777" w:rsidTr="001D42C1">
        <w:trPr>
          <w:trHeight w:val="310"/>
        </w:trPr>
        <w:tc>
          <w:tcPr>
            <w:tcW w:w="2790" w:type="dxa"/>
            <w:tcBorders>
              <w:top w:val="nil"/>
              <w:left w:val="single" w:sz="8" w:space="0" w:color="auto"/>
              <w:bottom w:val="single" w:sz="4" w:space="0" w:color="auto"/>
              <w:right w:val="single" w:sz="4" w:space="0" w:color="auto"/>
            </w:tcBorders>
            <w:shd w:val="clear" w:color="auto" w:fill="auto"/>
            <w:noWrap/>
            <w:vAlign w:val="center"/>
            <w:hideMark/>
          </w:tcPr>
          <w:p w14:paraId="56624BD1" w14:textId="77777777" w:rsidR="005F5B4D" w:rsidRPr="005F5B4D" w:rsidRDefault="005F5B4D" w:rsidP="005F5B4D">
            <w:pPr>
              <w:spacing w:after="0"/>
              <w:rPr>
                <w:rFonts w:ascii="Calibri" w:hAnsi="Calibri" w:cs="Calibri"/>
                <w:color w:val="auto"/>
              </w:rPr>
            </w:pPr>
            <w:proofErr w:type="spellStart"/>
            <w:r w:rsidRPr="005F5B4D">
              <w:rPr>
                <w:rFonts w:ascii="Calibri" w:hAnsi="Calibri" w:cs="Calibri"/>
                <w:color w:val="auto"/>
              </w:rPr>
              <w:t>OxTHINK</w:t>
            </w:r>
            <w:proofErr w:type="spellEnd"/>
          </w:p>
        </w:tc>
        <w:tc>
          <w:tcPr>
            <w:tcW w:w="1437" w:type="dxa"/>
            <w:tcBorders>
              <w:top w:val="nil"/>
              <w:left w:val="nil"/>
              <w:bottom w:val="single" w:sz="4" w:space="0" w:color="auto"/>
              <w:right w:val="single" w:sz="4" w:space="0" w:color="auto"/>
            </w:tcBorders>
            <w:shd w:val="clear" w:color="auto" w:fill="auto"/>
            <w:noWrap/>
            <w:vAlign w:val="center"/>
            <w:hideMark/>
          </w:tcPr>
          <w:p w14:paraId="140363F3" w14:textId="77777777" w:rsidR="005F5B4D" w:rsidRPr="005F5B4D" w:rsidRDefault="005F5B4D" w:rsidP="005F5B4D">
            <w:pPr>
              <w:spacing w:after="0"/>
              <w:jc w:val="right"/>
              <w:rPr>
                <w:rFonts w:ascii="Calibri" w:hAnsi="Calibri" w:cs="Calibri"/>
              </w:rPr>
            </w:pPr>
            <w:r w:rsidRPr="005F5B4D">
              <w:rPr>
                <w:rFonts w:ascii="Calibri" w:hAnsi="Calibri" w:cs="Calibri"/>
              </w:rPr>
              <w:t>£5,272.00</w:t>
            </w:r>
          </w:p>
        </w:tc>
        <w:tc>
          <w:tcPr>
            <w:tcW w:w="1437" w:type="dxa"/>
            <w:tcBorders>
              <w:top w:val="single" w:sz="4" w:space="0" w:color="auto"/>
              <w:left w:val="nil"/>
              <w:bottom w:val="nil"/>
              <w:right w:val="nil"/>
            </w:tcBorders>
            <w:shd w:val="clear" w:color="auto" w:fill="auto"/>
            <w:noWrap/>
            <w:vAlign w:val="center"/>
            <w:hideMark/>
          </w:tcPr>
          <w:p w14:paraId="611E1EA4" w14:textId="77777777" w:rsidR="005F5B4D" w:rsidRPr="005F5B4D" w:rsidRDefault="005F5B4D" w:rsidP="005F5B4D">
            <w:pPr>
              <w:spacing w:after="0"/>
              <w:jc w:val="right"/>
              <w:rPr>
                <w:rFonts w:ascii="Calibri" w:hAnsi="Calibri" w:cs="Calibri"/>
                <w:color w:val="auto"/>
              </w:rPr>
            </w:pPr>
            <w:r w:rsidRPr="005F5B4D">
              <w:rPr>
                <w:rFonts w:ascii="Calibri" w:hAnsi="Calibri" w:cs="Calibri"/>
                <w:color w:val="auto"/>
              </w:rPr>
              <w:t>£5,026.60</w:t>
            </w:r>
          </w:p>
        </w:tc>
        <w:tc>
          <w:tcPr>
            <w:tcW w:w="1276" w:type="dxa"/>
            <w:tcBorders>
              <w:top w:val="single" w:sz="4" w:space="0" w:color="auto"/>
              <w:left w:val="single" w:sz="4" w:space="0" w:color="auto"/>
              <w:bottom w:val="nil"/>
              <w:right w:val="nil"/>
            </w:tcBorders>
            <w:shd w:val="clear" w:color="auto" w:fill="auto"/>
            <w:noWrap/>
            <w:vAlign w:val="center"/>
            <w:hideMark/>
          </w:tcPr>
          <w:p w14:paraId="5B8A70B6" w14:textId="77777777" w:rsidR="005F5B4D" w:rsidRPr="005F5B4D" w:rsidRDefault="005F5B4D" w:rsidP="005F5B4D">
            <w:pPr>
              <w:spacing w:after="0"/>
              <w:jc w:val="right"/>
              <w:rPr>
                <w:rFonts w:ascii="Calibri" w:hAnsi="Calibri" w:cs="Calibri"/>
                <w:color w:val="auto"/>
              </w:rPr>
            </w:pPr>
            <w:r w:rsidRPr="005F5B4D">
              <w:rPr>
                <w:rFonts w:ascii="Calibri" w:hAnsi="Calibri" w:cs="Calibri"/>
                <w:color w:val="auto"/>
              </w:rPr>
              <w:t xml:space="preserve">0.00 </w:t>
            </w:r>
          </w:p>
        </w:tc>
        <w:tc>
          <w:tcPr>
            <w:tcW w:w="1559" w:type="dxa"/>
            <w:tcBorders>
              <w:top w:val="single" w:sz="4" w:space="0" w:color="auto"/>
              <w:left w:val="single" w:sz="4" w:space="0" w:color="auto"/>
              <w:bottom w:val="nil"/>
              <w:right w:val="nil"/>
            </w:tcBorders>
            <w:shd w:val="clear" w:color="auto" w:fill="auto"/>
            <w:noWrap/>
            <w:vAlign w:val="center"/>
            <w:hideMark/>
          </w:tcPr>
          <w:p w14:paraId="6912EEF9" w14:textId="77777777" w:rsidR="005F5B4D" w:rsidRPr="005F5B4D" w:rsidRDefault="005F5B4D" w:rsidP="005F5B4D">
            <w:pPr>
              <w:spacing w:after="0"/>
              <w:jc w:val="right"/>
              <w:rPr>
                <w:rFonts w:ascii="Calibri" w:hAnsi="Calibri" w:cs="Calibri"/>
                <w:color w:val="auto"/>
              </w:rPr>
            </w:pPr>
            <w:r w:rsidRPr="005F5B4D">
              <w:rPr>
                <w:rFonts w:ascii="Calibri" w:hAnsi="Calibri" w:cs="Calibri"/>
                <w:color w:val="auto"/>
              </w:rPr>
              <w:t xml:space="preserve">245.40 </w:t>
            </w:r>
          </w:p>
        </w:tc>
        <w:tc>
          <w:tcPr>
            <w:tcW w:w="1424" w:type="dxa"/>
            <w:tcBorders>
              <w:top w:val="single" w:sz="4" w:space="0" w:color="auto"/>
              <w:left w:val="single" w:sz="4" w:space="0" w:color="auto"/>
              <w:bottom w:val="nil"/>
              <w:right w:val="single" w:sz="8" w:space="0" w:color="auto"/>
            </w:tcBorders>
            <w:shd w:val="clear" w:color="auto" w:fill="auto"/>
            <w:noWrap/>
            <w:vAlign w:val="center"/>
            <w:hideMark/>
          </w:tcPr>
          <w:p w14:paraId="1666C623" w14:textId="77777777" w:rsidR="005F5B4D" w:rsidRPr="005F5B4D" w:rsidRDefault="005F5B4D" w:rsidP="005F5B4D">
            <w:pPr>
              <w:spacing w:after="0"/>
              <w:jc w:val="right"/>
              <w:rPr>
                <w:rFonts w:ascii="Calibri" w:hAnsi="Calibri" w:cs="Calibri"/>
                <w:color w:val="auto"/>
              </w:rPr>
            </w:pPr>
            <w:r w:rsidRPr="005F5B4D">
              <w:rPr>
                <w:rFonts w:ascii="Calibri" w:hAnsi="Calibri" w:cs="Calibri"/>
                <w:color w:val="auto"/>
              </w:rPr>
              <w:t> </w:t>
            </w:r>
          </w:p>
        </w:tc>
      </w:tr>
      <w:tr w:rsidR="001D42C1" w:rsidRPr="005F5B4D" w14:paraId="2A4F89F0" w14:textId="77777777" w:rsidTr="001D42C1">
        <w:trPr>
          <w:trHeight w:val="310"/>
        </w:trPr>
        <w:tc>
          <w:tcPr>
            <w:tcW w:w="2790" w:type="dxa"/>
            <w:tcBorders>
              <w:top w:val="nil"/>
              <w:left w:val="single" w:sz="8" w:space="0" w:color="auto"/>
              <w:bottom w:val="single" w:sz="4" w:space="0" w:color="auto"/>
              <w:right w:val="single" w:sz="4" w:space="0" w:color="auto"/>
            </w:tcBorders>
            <w:shd w:val="clear" w:color="auto" w:fill="auto"/>
            <w:noWrap/>
            <w:vAlign w:val="center"/>
          </w:tcPr>
          <w:p w14:paraId="4E5B6754" w14:textId="77777777" w:rsidR="001D42C1" w:rsidRPr="005F5B4D" w:rsidRDefault="001D42C1" w:rsidP="005F5B4D">
            <w:pPr>
              <w:spacing w:after="0"/>
              <w:rPr>
                <w:rFonts w:ascii="Calibri" w:hAnsi="Calibri" w:cs="Calibri"/>
                <w:color w:val="auto"/>
              </w:rPr>
            </w:pPr>
            <w:r>
              <w:rPr>
                <w:rFonts w:ascii="Calibri" w:hAnsi="Calibri" w:cs="Calibri"/>
                <w:color w:val="auto"/>
              </w:rPr>
              <w:t>Big Issue Foundation</w:t>
            </w:r>
          </w:p>
        </w:tc>
        <w:tc>
          <w:tcPr>
            <w:tcW w:w="1437" w:type="dxa"/>
            <w:tcBorders>
              <w:top w:val="nil"/>
              <w:left w:val="single" w:sz="4" w:space="0" w:color="auto"/>
              <w:bottom w:val="single" w:sz="4" w:space="0" w:color="auto"/>
              <w:right w:val="single" w:sz="4" w:space="0" w:color="auto"/>
            </w:tcBorders>
            <w:shd w:val="clear" w:color="auto" w:fill="auto"/>
            <w:noWrap/>
            <w:vAlign w:val="center"/>
          </w:tcPr>
          <w:p w14:paraId="2397F3A2" w14:textId="77777777" w:rsidR="001D42C1" w:rsidRPr="005F5B4D" w:rsidRDefault="001D42C1" w:rsidP="005F5B4D">
            <w:pPr>
              <w:spacing w:after="0"/>
              <w:jc w:val="right"/>
              <w:rPr>
                <w:rFonts w:ascii="Calibri" w:hAnsi="Calibri" w:cs="Calibri"/>
              </w:rPr>
            </w:pPr>
            <w:r>
              <w:rPr>
                <w:rFonts w:ascii="Calibri" w:hAnsi="Calibri" w:cs="Calibri"/>
              </w:rPr>
              <w:t>£3,125.00</w:t>
            </w:r>
          </w:p>
        </w:tc>
        <w:tc>
          <w:tcPr>
            <w:tcW w:w="1437" w:type="dxa"/>
            <w:tcBorders>
              <w:top w:val="single" w:sz="4" w:space="0" w:color="auto"/>
              <w:left w:val="nil"/>
              <w:bottom w:val="nil"/>
              <w:right w:val="nil"/>
            </w:tcBorders>
            <w:shd w:val="clear" w:color="auto" w:fill="auto"/>
            <w:noWrap/>
            <w:vAlign w:val="center"/>
          </w:tcPr>
          <w:p w14:paraId="176A59D5" w14:textId="77777777" w:rsidR="001D42C1" w:rsidRPr="005F5B4D" w:rsidRDefault="001D42C1" w:rsidP="005F5B4D">
            <w:pPr>
              <w:spacing w:after="0"/>
              <w:jc w:val="right"/>
              <w:rPr>
                <w:rFonts w:ascii="Calibri" w:hAnsi="Calibri" w:cs="Calibri"/>
                <w:color w:val="auto"/>
              </w:rPr>
            </w:pPr>
            <w:r>
              <w:rPr>
                <w:rFonts w:ascii="Calibri" w:hAnsi="Calibri" w:cs="Calibri"/>
                <w:color w:val="auto"/>
              </w:rPr>
              <w:t>0.00</w:t>
            </w:r>
          </w:p>
        </w:tc>
        <w:tc>
          <w:tcPr>
            <w:tcW w:w="1276" w:type="dxa"/>
            <w:tcBorders>
              <w:top w:val="single" w:sz="4" w:space="0" w:color="auto"/>
              <w:left w:val="single" w:sz="4" w:space="0" w:color="auto"/>
              <w:bottom w:val="nil"/>
              <w:right w:val="nil"/>
            </w:tcBorders>
            <w:shd w:val="clear" w:color="auto" w:fill="auto"/>
            <w:noWrap/>
            <w:vAlign w:val="center"/>
          </w:tcPr>
          <w:p w14:paraId="6604FAE5" w14:textId="77777777" w:rsidR="001D42C1" w:rsidRPr="005F5B4D" w:rsidRDefault="001D42C1" w:rsidP="005F5B4D">
            <w:pPr>
              <w:spacing w:after="0"/>
              <w:jc w:val="right"/>
              <w:rPr>
                <w:rFonts w:ascii="Calibri" w:hAnsi="Calibri" w:cs="Calibri"/>
                <w:color w:val="auto"/>
              </w:rPr>
            </w:pPr>
            <w:r>
              <w:rPr>
                <w:rFonts w:ascii="Calibri" w:hAnsi="Calibri" w:cs="Calibri"/>
                <w:color w:val="auto"/>
              </w:rPr>
              <w:t>0.00</w:t>
            </w:r>
          </w:p>
        </w:tc>
        <w:tc>
          <w:tcPr>
            <w:tcW w:w="1559" w:type="dxa"/>
            <w:tcBorders>
              <w:top w:val="single" w:sz="4" w:space="0" w:color="auto"/>
              <w:left w:val="single" w:sz="4" w:space="0" w:color="auto"/>
              <w:bottom w:val="nil"/>
              <w:right w:val="nil"/>
            </w:tcBorders>
            <w:shd w:val="clear" w:color="auto" w:fill="auto"/>
            <w:noWrap/>
            <w:vAlign w:val="center"/>
          </w:tcPr>
          <w:p w14:paraId="681A1E12" w14:textId="77777777" w:rsidR="001D42C1" w:rsidRPr="005F5B4D" w:rsidRDefault="001D42C1" w:rsidP="005F5B4D">
            <w:pPr>
              <w:spacing w:after="0"/>
              <w:jc w:val="right"/>
              <w:rPr>
                <w:rFonts w:ascii="Calibri" w:hAnsi="Calibri" w:cs="Calibri"/>
                <w:color w:val="auto"/>
              </w:rPr>
            </w:pPr>
            <w:r>
              <w:rPr>
                <w:rFonts w:ascii="Calibri" w:hAnsi="Calibri" w:cs="Calibri"/>
                <w:color w:val="auto"/>
              </w:rPr>
              <w:t>3,125.00</w:t>
            </w:r>
          </w:p>
        </w:tc>
        <w:tc>
          <w:tcPr>
            <w:tcW w:w="1424" w:type="dxa"/>
            <w:tcBorders>
              <w:top w:val="single" w:sz="4" w:space="0" w:color="auto"/>
              <w:left w:val="single" w:sz="4" w:space="0" w:color="auto"/>
              <w:bottom w:val="nil"/>
              <w:right w:val="single" w:sz="8" w:space="0" w:color="auto"/>
            </w:tcBorders>
            <w:shd w:val="clear" w:color="auto" w:fill="auto"/>
            <w:noWrap/>
            <w:vAlign w:val="center"/>
          </w:tcPr>
          <w:p w14:paraId="4D00948B" w14:textId="77777777" w:rsidR="001D42C1" w:rsidRPr="005F5B4D" w:rsidRDefault="001D42C1" w:rsidP="005F5B4D">
            <w:pPr>
              <w:spacing w:after="0"/>
              <w:jc w:val="right"/>
              <w:rPr>
                <w:rFonts w:ascii="Calibri" w:hAnsi="Calibri" w:cs="Calibri"/>
                <w:color w:val="auto"/>
              </w:rPr>
            </w:pPr>
          </w:p>
        </w:tc>
      </w:tr>
      <w:tr w:rsidR="005F5B4D" w:rsidRPr="005F5B4D" w14:paraId="2406DF3E" w14:textId="77777777" w:rsidTr="001D42C1">
        <w:trPr>
          <w:trHeight w:val="310"/>
        </w:trPr>
        <w:tc>
          <w:tcPr>
            <w:tcW w:w="2790" w:type="dxa"/>
            <w:tcBorders>
              <w:top w:val="nil"/>
              <w:left w:val="single" w:sz="8" w:space="0" w:color="auto"/>
              <w:bottom w:val="single" w:sz="4" w:space="0" w:color="auto"/>
              <w:right w:val="single" w:sz="4" w:space="0" w:color="auto"/>
            </w:tcBorders>
            <w:shd w:val="clear" w:color="auto" w:fill="auto"/>
            <w:noWrap/>
            <w:vAlign w:val="center"/>
            <w:hideMark/>
          </w:tcPr>
          <w:p w14:paraId="486B962D" w14:textId="77777777" w:rsidR="005F5B4D" w:rsidRPr="005F5B4D" w:rsidRDefault="005F5B4D" w:rsidP="005F5B4D">
            <w:pPr>
              <w:spacing w:after="0"/>
              <w:rPr>
                <w:rFonts w:ascii="Calibri" w:hAnsi="Calibri" w:cs="Calibri"/>
                <w:color w:val="auto"/>
              </w:rPr>
            </w:pPr>
            <w:r w:rsidRPr="005F5B4D">
              <w:rPr>
                <w:rFonts w:ascii="Calibri" w:hAnsi="Calibri" w:cs="Calibri"/>
                <w:color w:val="auto"/>
              </w:rPr>
              <w:t>Network Development Programme</w:t>
            </w:r>
          </w:p>
        </w:tc>
        <w:tc>
          <w:tcPr>
            <w:tcW w:w="1437" w:type="dxa"/>
            <w:tcBorders>
              <w:top w:val="nil"/>
              <w:left w:val="single" w:sz="4" w:space="0" w:color="auto"/>
              <w:bottom w:val="single" w:sz="4" w:space="0" w:color="auto"/>
              <w:right w:val="single" w:sz="4" w:space="0" w:color="auto"/>
            </w:tcBorders>
            <w:shd w:val="clear" w:color="auto" w:fill="auto"/>
            <w:noWrap/>
            <w:vAlign w:val="center"/>
            <w:hideMark/>
          </w:tcPr>
          <w:p w14:paraId="626D1BF4" w14:textId="77777777" w:rsidR="005F5B4D" w:rsidRPr="005F5B4D" w:rsidRDefault="005F5B4D" w:rsidP="005F5B4D">
            <w:pPr>
              <w:spacing w:after="0"/>
              <w:jc w:val="right"/>
              <w:rPr>
                <w:rFonts w:ascii="Calibri" w:hAnsi="Calibri" w:cs="Calibri"/>
              </w:rPr>
            </w:pPr>
            <w:r w:rsidRPr="005F5B4D">
              <w:rPr>
                <w:rFonts w:ascii="Calibri" w:hAnsi="Calibri" w:cs="Calibri"/>
              </w:rPr>
              <w:t>£5,000.00</w:t>
            </w:r>
          </w:p>
        </w:tc>
        <w:tc>
          <w:tcPr>
            <w:tcW w:w="1437" w:type="dxa"/>
            <w:tcBorders>
              <w:top w:val="single" w:sz="4" w:space="0" w:color="auto"/>
              <w:left w:val="nil"/>
              <w:bottom w:val="nil"/>
              <w:right w:val="nil"/>
            </w:tcBorders>
            <w:shd w:val="clear" w:color="auto" w:fill="auto"/>
            <w:noWrap/>
            <w:vAlign w:val="center"/>
            <w:hideMark/>
          </w:tcPr>
          <w:p w14:paraId="0ED65728" w14:textId="77777777" w:rsidR="005F5B4D" w:rsidRPr="005F5B4D" w:rsidRDefault="005F5B4D" w:rsidP="005F5B4D">
            <w:pPr>
              <w:spacing w:after="0"/>
              <w:jc w:val="right"/>
              <w:rPr>
                <w:rFonts w:ascii="Calibri" w:hAnsi="Calibri" w:cs="Calibri"/>
                <w:color w:val="auto"/>
              </w:rPr>
            </w:pPr>
            <w:r w:rsidRPr="005F5B4D">
              <w:rPr>
                <w:rFonts w:ascii="Calibri" w:hAnsi="Calibri" w:cs="Calibri"/>
                <w:color w:val="auto"/>
              </w:rPr>
              <w:t xml:space="preserve">0.00 </w:t>
            </w:r>
          </w:p>
        </w:tc>
        <w:tc>
          <w:tcPr>
            <w:tcW w:w="1276" w:type="dxa"/>
            <w:tcBorders>
              <w:top w:val="single" w:sz="4" w:space="0" w:color="auto"/>
              <w:left w:val="single" w:sz="4" w:space="0" w:color="auto"/>
              <w:bottom w:val="nil"/>
              <w:right w:val="nil"/>
            </w:tcBorders>
            <w:shd w:val="clear" w:color="auto" w:fill="auto"/>
            <w:noWrap/>
            <w:vAlign w:val="center"/>
            <w:hideMark/>
          </w:tcPr>
          <w:p w14:paraId="4FDA4224" w14:textId="77777777" w:rsidR="005F5B4D" w:rsidRPr="005F5B4D" w:rsidRDefault="005F5B4D" w:rsidP="005F5B4D">
            <w:pPr>
              <w:spacing w:after="0"/>
              <w:jc w:val="right"/>
              <w:rPr>
                <w:rFonts w:ascii="Calibri" w:hAnsi="Calibri" w:cs="Calibri"/>
                <w:color w:val="auto"/>
              </w:rPr>
            </w:pPr>
            <w:r w:rsidRPr="005F5B4D">
              <w:rPr>
                <w:rFonts w:ascii="Calibri" w:hAnsi="Calibri" w:cs="Calibri"/>
                <w:color w:val="auto"/>
              </w:rPr>
              <w:t xml:space="preserve">0.00 </w:t>
            </w:r>
          </w:p>
        </w:tc>
        <w:tc>
          <w:tcPr>
            <w:tcW w:w="1559" w:type="dxa"/>
            <w:tcBorders>
              <w:top w:val="single" w:sz="4" w:space="0" w:color="auto"/>
              <w:left w:val="single" w:sz="4" w:space="0" w:color="auto"/>
              <w:bottom w:val="nil"/>
              <w:right w:val="nil"/>
            </w:tcBorders>
            <w:shd w:val="clear" w:color="auto" w:fill="auto"/>
            <w:noWrap/>
            <w:vAlign w:val="center"/>
            <w:hideMark/>
          </w:tcPr>
          <w:p w14:paraId="03284A28" w14:textId="77777777" w:rsidR="005F5B4D" w:rsidRPr="005F5B4D" w:rsidRDefault="005F5B4D" w:rsidP="005F5B4D">
            <w:pPr>
              <w:spacing w:after="0"/>
              <w:jc w:val="right"/>
              <w:rPr>
                <w:rFonts w:ascii="Calibri" w:hAnsi="Calibri" w:cs="Calibri"/>
                <w:color w:val="auto"/>
              </w:rPr>
            </w:pPr>
            <w:r w:rsidRPr="005F5B4D">
              <w:rPr>
                <w:rFonts w:ascii="Calibri" w:hAnsi="Calibri" w:cs="Calibri"/>
                <w:color w:val="auto"/>
              </w:rPr>
              <w:t xml:space="preserve">5,000.00 </w:t>
            </w:r>
          </w:p>
        </w:tc>
        <w:tc>
          <w:tcPr>
            <w:tcW w:w="1424" w:type="dxa"/>
            <w:tcBorders>
              <w:top w:val="single" w:sz="4" w:space="0" w:color="auto"/>
              <w:left w:val="single" w:sz="4" w:space="0" w:color="auto"/>
              <w:bottom w:val="nil"/>
              <w:right w:val="single" w:sz="8" w:space="0" w:color="auto"/>
            </w:tcBorders>
            <w:shd w:val="clear" w:color="auto" w:fill="auto"/>
            <w:noWrap/>
            <w:vAlign w:val="center"/>
            <w:hideMark/>
          </w:tcPr>
          <w:p w14:paraId="3BB1834C" w14:textId="77777777" w:rsidR="005F5B4D" w:rsidRPr="005F5B4D" w:rsidRDefault="005F5B4D" w:rsidP="005F5B4D">
            <w:pPr>
              <w:spacing w:after="0"/>
              <w:jc w:val="right"/>
              <w:rPr>
                <w:rFonts w:ascii="Calibri" w:hAnsi="Calibri" w:cs="Calibri"/>
                <w:color w:val="auto"/>
              </w:rPr>
            </w:pPr>
            <w:r w:rsidRPr="005F5B4D">
              <w:rPr>
                <w:rFonts w:ascii="Calibri" w:hAnsi="Calibri" w:cs="Calibri"/>
                <w:color w:val="auto"/>
              </w:rPr>
              <w:t> </w:t>
            </w:r>
          </w:p>
        </w:tc>
      </w:tr>
      <w:tr w:rsidR="005F5B4D" w:rsidRPr="005F5B4D" w14:paraId="52D58647" w14:textId="77777777" w:rsidTr="001D42C1">
        <w:trPr>
          <w:trHeight w:val="310"/>
        </w:trPr>
        <w:tc>
          <w:tcPr>
            <w:tcW w:w="2790" w:type="dxa"/>
            <w:tcBorders>
              <w:top w:val="nil"/>
              <w:left w:val="single" w:sz="8" w:space="0" w:color="auto"/>
              <w:bottom w:val="single" w:sz="4" w:space="0" w:color="auto"/>
              <w:right w:val="single" w:sz="4" w:space="0" w:color="auto"/>
            </w:tcBorders>
            <w:shd w:val="clear" w:color="auto" w:fill="auto"/>
            <w:noWrap/>
            <w:vAlign w:val="center"/>
            <w:hideMark/>
          </w:tcPr>
          <w:p w14:paraId="36AF15D5" w14:textId="77777777" w:rsidR="005F5B4D" w:rsidRPr="005F5B4D" w:rsidRDefault="005F5B4D" w:rsidP="005F5B4D">
            <w:pPr>
              <w:spacing w:after="0"/>
              <w:rPr>
                <w:rFonts w:ascii="Calibri" w:hAnsi="Calibri" w:cs="Calibri"/>
                <w:color w:val="auto"/>
              </w:rPr>
            </w:pPr>
            <w:r w:rsidRPr="005F5B4D">
              <w:rPr>
                <w:rFonts w:ascii="Calibri" w:hAnsi="Calibri" w:cs="Calibri"/>
                <w:color w:val="auto"/>
              </w:rPr>
              <w:t>Access to Leisure Services</w:t>
            </w:r>
          </w:p>
        </w:tc>
        <w:tc>
          <w:tcPr>
            <w:tcW w:w="1437" w:type="dxa"/>
            <w:tcBorders>
              <w:top w:val="nil"/>
              <w:left w:val="single" w:sz="4" w:space="0" w:color="auto"/>
              <w:bottom w:val="single" w:sz="4" w:space="0" w:color="auto"/>
              <w:right w:val="single" w:sz="4" w:space="0" w:color="auto"/>
            </w:tcBorders>
            <w:shd w:val="clear" w:color="auto" w:fill="auto"/>
            <w:noWrap/>
            <w:vAlign w:val="center"/>
            <w:hideMark/>
          </w:tcPr>
          <w:p w14:paraId="75E54AB7" w14:textId="77777777" w:rsidR="005F5B4D" w:rsidRPr="005F5B4D" w:rsidRDefault="005F5B4D" w:rsidP="005F5B4D">
            <w:pPr>
              <w:spacing w:after="0"/>
              <w:jc w:val="right"/>
              <w:rPr>
                <w:rFonts w:ascii="Calibri" w:hAnsi="Calibri" w:cs="Calibri"/>
              </w:rPr>
            </w:pPr>
            <w:r w:rsidRPr="005F5B4D">
              <w:rPr>
                <w:rFonts w:ascii="Calibri" w:hAnsi="Calibri" w:cs="Calibri"/>
              </w:rPr>
              <w:t>£5,000.00</w:t>
            </w:r>
          </w:p>
        </w:tc>
        <w:tc>
          <w:tcPr>
            <w:tcW w:w="1437" w:type="dxa"/>
            <w:tcBorders>
              <w:top w:val="single" w:sz="4" w:space="0" w:color="auto"/>
              <w:left w:val="nil"/>
              <w:bottom w:val="nil"/>
              <w:right w:val="nil"/>
            </w:tcBorders>
            <w:shd w:val="clear" w:color="auto" w:fill="auto"/>
            <w:noWrap/>
            <w:vAlign w:val="center"/>
            <w:hideMark/>
          </w:tcPr>
          <w:p w14:paraId="7870537A" w14:textId="77777777" w:rsidR="005F5B4D" w:rsidRPr="005F5B4D" w:rsidRDefault="005F5B4D" w:rsidP="005F5B4D">
            <w:pPr>
              <w:spacing w:after="0"/>
              <w:jc w:val="right"/>
              <w:rPr>
                <w:rFonts w:ascii="Calibri" w:hAnsi="Calibri" w:cs="Calibri"/>
                <w:color w:val="auto"/>
              </w:rPr>
            </w:pPr>
            <w:r w:rsidRPr="005F5B4D">
              <w:rPr>
                <w:rFonts w:ascii="Calibri" w:hAnsi="Calibri" w:cs="Calibri"/>
                <w:color w:val="auto"/>
              </w:rPr>
              <w:t>£3,276.00</w:t>
            </w:r>
          </w:p>
        </w:tc>
        <w:tc>
          <w:tcPr>
            <w:tcW w:w="1276" w:type="dxa"/>
            <w:tcBorders>
              <w:top w:val="single" w:sz="4" w:space="0" w:color="auto"/>
              <w:left w:val="single" w:sz="4" w:space="0" w:color="auto"/>
              <w:bottom w:val="nil"/>
              <w:right w:val="nil"/>
            </w:tcBorders>
            <w:shd w:val="clear" w:color="auto" w:fill="auto"/>
            <w:noWrap/>
            <w:vAlign w:val="center"/>
            <w:hideMark/>
          </w:tcPr>
          <w:p w14:paraId="083F590C" w14:textId="77777777" w:rsidR="005F5B4D" w:rsidRPr="005F5B4D" w:rsidRDefault="005F5B4D" w:rsidP="005F5B4D">
            <w:pPr>
              <w:spacing w:after="0"/>
              <w:jc w:val="right"/>
              <w:rPr>
                <w:rFonts w:ascii="Calibri" w:hAnsi="Calibri" w:cs="Calibri"/>
                <w:color w:val="auto"/>
              </w:rPr>
            </w:pPr>
            <w:r w:rsidRPr="005F5B4D">
              <w:rPr>
                <w:rFonts w:ascii="Calibri" w:hAnsi="Calibri" w:cs="Calibri"/>
                <w:color w:val="auto"/>
              </w:rPr>
              <w:t xml:space="preserve">1,724.00 </w:t>
            </w:r>
          </w:p>
        </w:tc>
        <w:tc>
          <w:tcPr>
            <w:tcW w:w="1559" w:type="dxa"/>
            <w:tcBorders>
              <w:top w:val="single" w:sz="4" w:space="0" w:color="auto"/>
              <w:left w:val="single" w:sz="4" w:space="0" w:color="auto"/>
              <w:bottom w:val="nil"/>
              <w:right w:val="nil"/>
            </w:tcBorders>
            <w:shd w:val="clear" w:color="auto" w:fill="auto"/>
            <w:noWrap/>
            <w:vAlign w:val="center"/>
            <w:hideMark/>
          </w:tcPr>
          <w:p w14:paraId="0147E03A" w14:textId="77777777" w:rsidR="005F5B4D" w:rsidRPr="005F5B4D" w:rsidRDefault="005F5B4D" w:rsidP="005F5B4D">
            <w:pPr>
              <w:spacing w:after="0"/>
              <w:jc w:val="right"/>
              <w:rPr>
                <w:rFonts w:ascii="Calibri" w:hAnsi="Calibri" w:cs="Calibri"/>
                <w:color w:val="auto"/>
              </w:rPr>
            </w:pPr>
            <w:r w:rsidRPr="005F5B4D">
              <w:rPr>
                <w:rFonts w:ascii="Calibri" w:hAnsi="Calibri" w:cs="Calibri"/>
                <w:color w:val="auto"/>
              </w:rPr>
              <w:t xml:space="preserve">0.00 </w:t>
            </w:r>
          </w:p>
        </w:tc>
        <w:tc>
          <w:tcPr>
            <w:tcW w:w="1424" w:type="dxa"/>
            <w:tcBorders>
              <w:top w:val="single" w:sz="4" w:space="0" w:color="auto"/>
              <w:left w:val="single" w:sz="4" w:space="0" w:color="auto"/>
              <w:bottom w:val="nil"/>
              <w:right w:val="single" w:sz="8" w:space="0" w:color="auto"/>
            </w:tcBorders>
            <w:shd w:val="clear" w:color="auto" w:fill="auto"/>
            <w:noWrap/>
            <w:vAlign w:val="center"/>
            <w:hideMark/>
          </w:tcPr>
          <w:p w14:paraId="3D71D3C2" w14:textId="77777777" w:rsidR="005F5B4D" w:rsidRPr="005F5B4D" w:rsidRDefault="005F5B4D" w:rsidP="005F5B4D">
            <w:pPr>
              <w:spacing w:after="0"/>
              <w:jc w:val="right"/>
              <w:rPr>
                <w:rFonts w:ascii="Calibri" w:hAnsi="Calibri" w:cs="Calibri"/>
                <w:color w:val="auto"/>
              </w:rPr>
            </w:pPr>
            <w:r w:rsidRPr="005F5B4D">
              <w:rPr>
                <w:rFonts w:ascii="Calibri" w:hAnsi="Calibri" w:cs="Calibri"/>
                <w:color w:val="auto"/>
              </w:rPr>
              <w:t> </w:t>
            </w:r>
          </w:p>
        </w:tc>
      </w:tr>
      <w:tr w:rsidR="005F5B4D" w:rsidRPr="005F5B4D" w14:paraId="3A2A9110" w14:textId="77777777" w:rsidTr="001D42C1">
        <w:trPr>
          <w:trHeight w:val="310"/>
        </w:trPr>
        <w:tc>
          <w:tcPr>
            <w:tcW w:w="2790" w:type="dxa"/>
            <w:tcBorders>
              <w:top w:val="nil"/>
              <w:left w:val="single" w:sz="8" w:space="0" w:color="auto"/>
              <w:bottom w:val="nil"/>
              <w:right w:val="single" w:sz="4" w:space="0" w:color="auto"/>
            </w:tcBorders>
            <w:shd w:val="clear" w:color="auto" w:fill="auto"/>
            <w:noWrap/>
            <w:vAlign w:val="center"/>
            <w:hideMark/>
          </w:tcPr>
          <w:p w14:paraId="648D3E10" w14:textId="77777777" w:rsidR="005F5B4D" w:rsidRPr="005F5B4D" w:rsidRDefault="005F5B4D" w:rsidP="005F5B4D">
            <w:pPr>
              <w:spacing w:after="0"/>
              <w:rPr>
                <w:rFonts w:ascii="Calibri" w:hAnsi="Calibri" w:cs="Calibri"/>
                <w:color w:val="auto"/>
              </w:rPr>
            </w:pPr>
            <w:r w:rsidRPr="005F5B4D">
              <w:rPr>
                <w:rFonts w:ascii="Calibri" w:hAnsi="Calibri" w:cs="Calibri"/>
                <w:color w:val="auto"/>
              </w:rPr>
              <w:t>Contingency</w:t>
            </w:r>
          </w:p>
        </w:tc>
        <w:tc>
          <w:tcPr>
            <w:tcW w:w="1437" w:type="dxa"/>
            <w:tcBorders>
              <w:top w:val="nil"/>
              <w:left w:val="single" w:sz="4" w:space="0" w:color="auto"/>
              <w:bottom w:val="nil"/>
              <w:right w:val="single" w:sz="4" w:space="0" w:color="auto"/>
            </w:tcBorders>
            <w:shd w:val="clear" w:color="auto" w:fill="auto"/>
            <w:noWrap/>
            <w:vAlign w:val="center"/>
            <w:hideMark/>
          </w:tcPr>
          <w:p w14:paraId="1992D7B6" w14:textId="77777777" w:rsidR="005F5B4D" w:rsidRPr="005F5B4D" w:rsidRDefault="005F5B4D" w:rsidP="005F5B4D">
            <w:pPr>
              <w:spacing w:after="0"/>
              <w:jc w:val="right"/>
              <w:rPr>
                <w:rFonts w:ascii="Calibri" w:hAnsi="Calibri" w:cs="Calibri"/>
              </w:rPr>
            </w:pPr>
            <w:r w:rsidRPr="005F5B4D">
              <w:rPr>
                <w:rFonts w:ascii="Calibri" w:hAnsi="Calibri" w:cs="Calibri"/>
              </w:rPr>
              <w:t>£1,587.00</w:t>
            </w:r>
          </w:p>
        </w:tc>
        <w:tc>
          <w:tcPr>
            <w:tcW w:w="1437" w:type="dxa"/>
            <w:tcBorders>
              <w:top w:val="single" w:sz="4" w:space="0" w:color="auto"/>
              <w:left w:val="nil"/>
              <w:bottom w:val="nil"/>
              <w:right w:val="nil"/>
            </w:tcBorders>
            <w:shd w:val="clear" w:color="auto" w:fill="auto"/>
            <w:noWrap/>
            <w:vAlign w:val="center"/>
            <w:hideMark/>
          </w:tcPr>
          <w:p w14:paraId="316A2A2C" w14:textId="77777777" w:rsidR="005F5B4D" w:rsidRPr="005F5B4D" w:rsidRDefault="005F5B4D" w:rsidP="005F5B4D">
            <w:pPr>
              <w:spacing w:after="0"/>
              <w:jc w:val="right"/>
              <w:rPr>
                <w:rFonts w:ascii="Calibri" w:hAnsi="Calibri" w:cs="Calibri"/>
                <w:color w:val="auto"/>
              </w:rPr>
            </w:pPr>
            <w:r w:rsidRPr="005F5B4D">
              <w:rPr>
                <w:rFonts w:ascii="Calibri" w:hAnsi="Calibri" w:cs="Calibri"/>
                <w:color w:val="auto"/>
              </w:rPr>
              <w:t>£854.03</w:t>
            </w:r>
          </w:p>
        </w:tc>
        <w:tc>
          <w:tcPr>
            <w:tcW w:w="1276" w:type="dxa"/>
            <w:tcBorders>
              <w:top w:val="single" w:sz="4" w:space="0" w:color="auto"/>
              <w:left w:val="single" w:sz="4" w:space="0" w:color="auto"/>
              <w:bottom w:val="nil"/>
              <w:right w:val="nil"/>
            </w:tcBorders>
            <w:shd w:val="clear" w:color="auto" w:fill="auto"/>
            <w:noWrap/>
            <w:vAlign w:val="center"/>
            <w:hideMark/>
          </w:tcPr>
          <w:p w14:paraId="50E0B7A5" w14:textId="77777777" w:rsidR="005F5B4D" w:rsidRPr="005F5B4D" w:rsidRDefault="005F5B4D" w:rsidP="005F5B4D">
            <w:pPr>
              <w:spacing w:after="0"/>
              <w:jc w:val="right"/>
              <w:rPr>
                <w:rFonts w:ascii="Calibri" w:hAnsi="Calibri" w:cs="Calibri"/>
                <w:color w:val="auto"/>
              </w:rPr>
            </w:pPr>
            <w:r w:rsidRPr="005F5B4D">
              <w:rPr>
                <w:rFonts w:ascii="Calibri" w:hAnsi="Calibri" w:cs="Calibri"/>
                <w:color w:val="auto"/>
              </w:rPr>
              <w:t xml:space="preserve">0.00 </w:t>
            </w:r>
          </w:p>
        </w:tc>
        <w:tc>
          <w:tcPr>
            <w:tcW w:w="1559" w:type="dxa"/>
            <w:tcBorders>
              <w:top w:val="single" w:sz="4" w:space="0" w:color="auto"/>
              <w:left w:val="single" w:sz="4" w:space="0" w:color="auto"/>
              <w:bottom w:val="nil"/>
              <w:right w:val="nil"/>
            </w:tcBorders>
            <w:shd w:val="clear" w:color="auto" w:fill="auto"/>
            <w:noWrap/>
            <w:vAlign w:val="center"/>
            <w:hideMark/>
          </w:tcPr>
          <w:p w14:paraId="57F210BA" w14:textId="77777777" w:rsidR="005F5B4D" w:rsidRPr="005F5B4D" w:rsidRDefault="005F5B4D" w:rsidP="005F5B4D">
            <w:pPr>
              <w:spacing w:after="0"/>
              <w:jc w:val="right"/>
              <w:rPr>
                <w:rFonts w:ascii="Calibri" w:hAnsi="Calibri" w:cs="Calibri"/>
                <w:color w:val="auto"/>
              </w:rPr>
            </w:pPr>
            <w:r w:rsidRPr="005F5B4D">
              <w:rPr>
                <w:rFonts w:ascii="Calibri" w:hAnsi="Calibri" w:cs="Calibri"/>
                <w:color w:val="auto"/>
              </w:rPr>
              <w:t xml:space="preserve">732.97 </w:t>
            </w:r>
          </w:p>
        </w:tc>
        <w:tc>
          <w:tcPr>
            <w:tcW w:w="1424" w:type="dxa"/>
            <w:tcBorders>
              <w:top w:val="single" w:sz="4" w:space="0" w:color="auto"/>
              <w:left w:val="single" w:sz="4" w:space="0" w:color="auto"/>
              <w:bottom w:val="nil"/>
              <w:right w:val="single" w:sz="8" w:space="0" w:color="auto"/>
            </w:tcBorders>
            <w:shd w:val="clear" w:color="auto" w:fill="auto"/>
            <w:noWrap/>
            <w:vAlign w:val="center"/>
            <w:hideMark/>
          </w:tcPr>
          <w:p w14:paraId="7C789CF6" w14:textId="77777777" w:rsidR="005F5B4D" w:rsidRPr="005F5B4D" w:rsidRDefault="005F5B4D" w:rsidP="005F5B4D">
            <w:pPr>
              <w:spacing w:after="0"/>
              <w:jc w:val="right"/>
              <w:rPr>
                <w:rFonts w:ascii="Calibri" w:hAnsi="Calibri" w:cs="Calibri"/>
                <w:color w:val="auto"/>
              </w:rPr>
            </w:pPr>
            <w:r w:rsidRPr="005F5B4D">
              <w:rPr>
                <w:rFonts w:ascii="Calibri" w:hAnsi="Calibri" w:cs="Calibri"/>
                <w:color w:val="auto"/>
              </w:rPr>
              <w:t> </w:t>
            </w:r>
          </w:p>
        </w:tc>
      </w:tr>
      <w:tr w:rsidR="001D42C1" w:rsidRPr="005F5B4D" w14:paraId="3B62210D" w14:textId="77777777" w:rsidTr="001D42C1">
        <w:trPr>
          <w:trHeight w:val="310"/>
        </w:trPr>
        <w:tc>
          <w:tcPr>
            <w:tcW w:w="2790" w:type="dxa"/>
            <w:tcBorders>
              <w:top w:val="single" w:sz="4" w:space="0" w:color="auto"/>
              <w:left w:val="single" w:sz="8" w:space="0" w:color="auto"/>
              <w:bottom w:val="single" w:sz="4" w:space="0" w:color="auto"/>
              <w:right w:val="nil"/>
            </w:tcBorders>
            <w:shd w:val="clear" w:color="auto" w:fill="auto"/>
            <w:noWrap/>
            <w:vAlign w:val="center"/>
            <w:hideMark/>
          </w:tcPr>
          <w:p w14:paraId="0E0BEADB" w14:textId="77777777" w:rsidR="001D42C1" w:rsidRPr="005F5B4D" w:rsidRDefault="001D42C1" w:rsidP="001D42C1">
            <w:pPr>
              <w:spacing w:after="0"/>
              <w:rPr>
                <w:rFonts w:ascii="Calibri" w:hAnsi="Calibri" w:cs="Calibri"/>
              </w:rPr>
            </w:pPr>
            <w:r w:rsidRPr="005F5B4D">
              <w:rPr>
                <w:rFonts w:ascii="Calibri" w:hAnsi="Calibri" w:cs="Calibri"/>
              </w:rPr>
              <w:t> </w:t>
            </w:r>
          </w:p>
        </w:tc>
        <w:tc>
          <w:tcPr>
            <w:tcW w:w="1437" w:type="dxa"/>
            <w:tcBorders>
              <w:top w:val="single" w:sz="4" w:space="0" w:color="auto"/>
              <w:left w:val="nil"/>
              <w:bottom w:val="single" w:sz="4" w:space="0" w:color="auto"/>
              <w:right w:val="nil"/>
            </w:tcBorders>
            <w:shd w:val="clear" w:color="auto" w:fill="auto"/>
            <w:noWrap/>
            <w:vAlign w:val="center"/>
            <w:hideMark/>
          </w:tcPr>
          <w:p w14:paraId="7A3D9771" w14:textId="77777777" w:rsidR="001D42C1" w:rsidRPr="005F5B4D" w:rsidRDefault="001D42C1" w:rsidP="001D42C1">
            <w:pPr>
              <w:spacing w:after="0"/>
              <w:jc w:val="right"/>
              <w:rPr>
                <w:rFonts w:ascii="Calibri" w:hAnsi="Calibri" w:cs="Calibri"/>
                <w:b/>
                <w:bCs/>
              </w:rPr>
            </w:pPr>
            <w:r w:rsidRPr="001D42C1">
              <w:rPr>
                <w:rFonts w:ascii="Calibri" w:hAnsi="Calibri" w:cs="Calibri"/>
                <w:b/>
                <w:bCs/>
              </w:rPr>
              <w:t>£458,334.00</w:t>
            </w:r>
          </w:p>
        </w:tc>
        <w:tc>
          <w:tcPr>
            <w:tcW w:w="1437" w:type="dxa"/>
            <w:tcBorders>
              <w:top w:val="single" w:sz="4" w:space="0" w:color="auto"/>
              <w:left w:val="nil"/>
              <w:bottom w:val="single" w:sz="4" w:space="0" w:color="auto"/>
              <w:right w:val="nil"/>
            </w:tcBorders>
            <w:shd w:val="clear" w:color="auto" w:fill="auto"/>
            <w:noWrap/>
            <w:vAlign w:val="center"/>
            <w:hideMark/>
          </w:tcPr>
          <w:p w14:paraId="27E7B99F" w14:textId="77777777" w:rsidR="001D42C1" w:rsidRPr="005F5B4D" w:rsidRDefault="001D42C1" w:rsidP="001D42C1">
            <w:pPr>
              <w:spacing w:after="0"/>
              <w:jc w:val="right"/>
              <w:rPr>
                <w:rFonts w:ascii="Calibri" w:hAnsi="Calibri" w:cs="Calibri"/>
                <w:b/>
                <w:bCs/>
              </w:rPr>
            </w:pPr>
            <w:r w:rsidRPr="001D42C1">
              <w:rPr>
                <w:rFonts w:ascii="Calibri" w:hAnsi="Calibri" w:cs="Calibri"/>
                <w:b/>
                <w:bCs/>
              </w:rPr>
              <w:t>£444,140.98</w:t>
            </w:r>
          </w:p>
        </w:tc>
        <w:tc>
          <w:tcPr>
            <w:tcW w:w="1276" w:type="dxa"/>
            <w:tcBorders>
              <w:top w:val="single" w:sz="4" w:space="0" w:color="auto"/>
              <w:left w:val="nil"/>
              <w:bottom w:val="single" w:sz="4" w:space="0" w:color="auto"/>
              <w:right w:val="nil"/>
            </w:tcBorders>
            <w:shd w:val="clear" w:color="auto" w:fill="auto"/>
            <w:noWrap/>
            <w:vAlign w:val="center"/>
            <w:hideMark/>
          </w:tcPr>
          <w:p w14:paraId="7FC8CE11" w14:textId="77777777" w:rsidR="001D42C1" w:rsidRPr="005F5B4D" w:rsidRDefault="001D42C1" w:rsidP="001D42C1">
            <w:pPr>
              <w:spacing w:after="0"/>
              <w:jc w:val="right"/>
              <w:rPr>
                <w:rFonts w:ascii="Calibri" w:hAnsi="Calibri" w:cs="Calibri"/>
                <w:b/>
                <w:bCs/>
              </w:rPr>
            </w:pPr>
            <w:r w:rsidRPr="001D42C1">
              <w:rPr>
                <w:rFonts w:ascii="Calibri" w:hAnsi="Calibri" w:cs="Calibri"/>
                <w:b/>
                <w:bCs/>
              </w:rPr>
              <w:t>£1,724.00</w:t>
            </w:r>
          </w:p>
        </w:tc>
        <w:tc>
          <w:tcPr>
            <w:tcW w:w="1559" w:type="dxa"/>
            <w:tcBorders>
              <w:top w:val="single" w:sz="4" w:space="0" w:color="auto"/>
              <w:left w:val="nil"/>
              <w:bottom w:val="single" w:sz="4" w:space="0" w:color="auto"/>
              <w:right w:val="nil"/>
            </w:tcBorders>
            <w:shd w:val="clear" w:color="auto" w:fill="auto"/>
            <w:noWrap/>
            <w:vAlign w:val="center"/>
            <w:hideMark/>
          </w:tcPr>
          <w:p w14:paraId="5596630D" w14:textId="77777777" w:rsidR="001D42C1" w:rsidRPr="005F5B4D" w:rsidRDefault="001D42C1" w:rsidP="001D42C1">
            <w:pPr>
              <w:spacing w:after="0"/>
              <w:jc w:val="right"/>
              <w:rPr>
                <w:rFonts w:ascii="Calibri" w:hAnsi="Calibri" w:cs="Calibri"/>
                <w:b/>
                <w:bCs/>
              </w:rPr>
            </w:pPr>
            <w:r w:rsidRPr="001D42C1">
              <w:rPr>
                <w:rFonts w:ascii="Calibri" w:hAnsi="Calibri" w:cs="Calibri"/>
                <w:b/>
                <w:bCs/>
              </w:rPr>
              <w:t>£67,475.37</w:t>
            </w:r>
          </w:p>
        </w:tc>
        <w:tc>
          <w:tcPr>
            <w:tcW w:w="1424" w:type="dxa"/>
            <w:tcBorders>
              <w:top w:val="single" w:sz="4" w:space="0" w:color="auto"/>
              <w:left w:val="nil"/>
              <w:bottom w:val="single" w:sz="4" w:space="0" w:color="auto"/>
              <w:right w:val="single" w:sz="8" w:space="0" w:color="auto"/>
            </w:tcBorders>
            <w:shd w:val="clear" w:color="auto" w:fill="auto"/>
            <w:noWrap/>
            <w:vAlign w:val="center"/>
            <w:hideMark/>
          </w:tcPr>
          <w:p w14:paraId="0562D3C0" w14:textId="77777777" w:rsidR="001D42C1" w:rsidRPr="005F5B4D" w:rsidRDefault="001D42C1" w:rsidP="001D42C1">
            <w:pPr>
              <w:spacing w:after="0"/>
              <w:jc w:val="right"/>
              <w:rPr>
                <w:rFonts w:ascii="Calibri" w:hAnsi="Calibri" w:cs="Calibri"/>
                <w:b/>
                <w:bCs/>
              </w:rPr>
            </w:pPr>
            <w:r w:rsidRPr="001D42C1">
              <w:rPr>
                <w:rFonts w:ascii="Calibri" w:hAnsi="Calibri" w:cs="Calibri"/>
                <w:b/>
                <w:bCs/>
                <w:color w:val="FF0000"/>
              </w:rPr>
              <w:t>-£55,006.35</w:t>
            </w:r>
          </w:p>
        </w:tc>
      </w:tr>
      <w:tr w:rsidR="005F5B4D" w:rsidRPr="005F5B4D" w14:paraId="219E0631" w14:textId="77777777" w:rsidTr="001D42C1">
        <w:trPr>
          <w:trHeight w:val="320"/>
        </w:trPr>
        <w:tc>
          <w:tcPr>
            <w:tcW w:w="2790" w:type="dxa"/>
            <w:tcBorders>
              <w:top w:val="nil"/>
              <w:left w:val="single" w:sz="8" w:space="0" w:color="auto"/>
              <w:bottom w:val="single" w:sz="8" w:space="0" w:color="auto"/>
              <w:right w:val="nil"/>
            </w:tcBorders>
            <w:shd w:val="clear" w:color="auto" w:fill="auto"/>
            <w:noWrap/>
            <w:vAlign w:val="center"/>
            <w:hideMark/>
          </w:tcPr>
          <w:p w14:paraId="3E9AC152" w14:textId="77777777" w:rsidR="005F5B4D" w:rsidRPr="005F5B4D" w:rsidRDefault="005F5B4D" w:rsidP="005F5B4D">
            <w:pPr>
              <w:spacing w:after="0"/>
              <w:rPr>
                <w:rFonts w:ascii="Calibri" w:hAnsi="Calibri" w:cs="Calibri"/>
                <w:b/>
                <w:bCs/>
              </w:rPr>
            </w:pPr>
            <w:r w:rsidRPr="005F5B4D">
              <w:rPr>
                <w:rFonts w:ascii="Calibri" w:hAnsi="Calibri" w:cs="Calibri"/>
                <w:b/>
                <w:bCs/>
              </w:rPr>
              <w:t>Net forecast outturn</w:t>
            </w:r>
          </w:p>
        </w:tc>
        <w:tc>
          <w:tcPr>
            <w:tcW w:w="1437" w:type="dxa"/>
            <w:tcBorders>
              <w:top w:val="nil"/>
              <w:left w:val="nil"/>
              <w:bottom w:val="single" w:sz="8" w:space="0" w:color="auto"/>
              <w:right w:val="nil"/>
            </w:tcBorders>
            <w:shd w:val="clear" w:color="auto" w:fill="auto"/>
            <w:noWrap/>
            <w:vAlign w:val="center"/>
            <w:hideMark/>
          </w:tcPr>
          <w:p w14:paraId="51F73936" w14:textId="77777777" w:rsidR="005F5B4D" w:rsidRPr="005F5B4D" w:rsidRDefault="005F5B4D" w:rsidP="005F5B4D">
            <w:pPr>
              <w:spacing w:after="0"/>
              <w:rPr>
                <w:rFonts w:ascii="Calibri" w:hAnsi="Calibri" w:cs="Calibri"/>
                <w:b/>
                <w:bCs/>
              </w:rPr>
            </w:pPr>
            <w:r w:rsidRPr="005F5B4D">
              <w:rPr>
                <w:rFonts w:ascii="Calibri" w:hAnsi="Calibri" w:cs="Calibri"/>
                <w:b/>
                <w:bCs/>
              </w:rPr>
              <w:t> </w:t>
            </w:r>
          </w:p>
        </w:tc>
        <w:tc>
          <w:tcPr>
            <w:tcW w:w="1437" w:type="dxa"/>
            <w:tcBorders>
              <w:top w:val="nil"/>
              <w:left w:val="nil"/>
              <w:bottom w:val="single" w:sz="8" w:space="0" w:color="auto"/>
              <w:right w:val="nil"/>
            </w:tcBorders>
            <w:shd w:val="clear" w:color="auto" w:fill="auto"/>
            <w:noWrap/>
            <w:vAlign w:val="center"/>
            <w:hideMark/>
          </w:tcPr>
          <w:p w14:paraId="145A9EF7" w14:textId="77777777" w:rsidR="005F5B4D" w:rsidRPr="005F5B4D" w:rsidRDefault="005F5B4D" w:rsidP="005F5B4D">
            <w:pPr>
              <w:spacing w:after="0"/>
              <w:rPr>
                <w:rFonts w:ascii="Calibri" w:hAnsi="Calibri" w:cs="Calibri"/>
                <w:b/>
                <w:bCs/>
              </w:rPr>
            </w:pPr>
            <w:r w:rsidRPr="005F5B4D">
              <w:rPr>
                <w:rFonts w:ascii="Calibri" w:hAnsi="Calibri" w:cs="Calibri"/>
                <w:b/>
                <w:bCs/>
              </w:rPr>
              <w:t> </w:t>
            </w:r>
          </w:p>
        </w:tc>
        <w:tc>
          <w:tcPr>
            <w:tcW w:w="1276" w:type="dxa"/>
            <w:tcBorders>
              <w:top w:val="nil"/>
              <w:left w:val="nil"/>
              <w:bottom w:val="single" w:sz="8" w:space="0" w:color="auto"/>
              <w:right w:val="nil"/>
            </w:tcBorders>
            <w:shd w:val="clear" w:color="auto" w:fill="auto"/>
            <w:noWrap/>
            <w:vAlign w:val="center"/>
            <w:hideMark/>
          </w:tcPr>
          <w:p w14:paraId="7391351B" w14:textId="77777777" w:rsidR="005F5B4D" w:rsidRPr="005F5B4D" w:rsidRDefault="005F5B4D" w:rsidP="0028408C">
            <w:pPr>
              <w:spacing w:after="0"/>
              <w:jc w:val="right"/>
              <w:rPr>
                <w:rFonts w:ascii="Calibri" w:hAnsi="Calibri" w:cs="Calibri"/>
                <w:b/>
                <w:bCs/>
              </w:rPr>
            </w:pPr>
            <w:r w:rsidRPr="005F5B4D">
              <w:rPr>
                <w:rFonts w:ascii="Calibri" w:hAnsi="Calibri" w:cs="Calibri"/>
                <w:b/>
                <w:bCs/>
              </w:rPr>
              <w:t> </w:t>
            </w:r>
          </w:p>
        </w:tc>
        <w:tc>
          <w:tcPr>
            <w:tcW w:w="1559" w:type="dxa"/>
            <w:tcBorders>
              <w:top w:val="nil"/>
              <w:left w:val="nil"/>
              <w:bottom w:val="single" w:sz="8" w:space="0" w:color="auto"/>
              <w:right w:val="nil"/>
            </w:tcBorders>
            <w:shd w:val="clear" w:color="auto" w:fill="auto"/>
            <w:noWrap/>
            <w:vAlign w:val="center"/>
            <w:hideMark/>
          </w:tcPr>
          <w:p w14:paraId="24AF42AC" w14:textId="1A5B0712" w:rsidR="005F5B4D" w:rsidRPr="005F5B4D" w:rsidRDefault="005F5B4D" w:rsidP="0028408C">
            <w:pPr>
              <w:spacing w:after="0"/>
              <w:jc w:val="right"/>
              <w:rPr>
                <w:rFonts w:ascii="Calibri" w:hAnsi="Calibri" w:cs="Calibri"/>
                <w:b/>
                <w:bCs/>
              </w:rPr>
            </w:pPr>
            <w:r w:rsidRPr="005F5B4D">
              <w:rPr>
                <w:rFonts w:ascii="Calibri" w:hAnsi="Calibri" w:cs="Calibri"/>
                <w:b/>
                <w:bCs/>
              </w:rPr>
              <w:t> </w:t>
            </w:r>
            <w:r w:rsidR="003F6664">
              <w:rPr>
                <w:rFonts w:ascii="Calibri" w:hAnsi="Calibri" w:cs="Calibri"/>
                <w:b/>
                <w:bCs/>
              </w:rPr>
              <w:t xml:space="preserve"> </w:t>
            </w:r>
            <w:r w:rsidR="003F6664" w:rsidRPr="005F5B4D">
              <w:rPr>
                <w:rFonts w:ascii="Calibri" w:hAnsi="Calibri" w:cs="Calibri"/>
                <w:b/>
                <w:bCs/>
              </w:rPr>
              <w:t>£</w:t>
            </w:r>
            <w:r w:rsidR="003F6664">
              <w:rPr>
                <w:rFonts w:ascii="Calibri" w:hAnsi="Calibri" w:cs="Calibri"/>
                <w:b/>
                <w:bCs/>
              </w:rPr>
              <w:t>12,689</w:t>
            </w:r>
          </w:p>
        </w:tc>
        <w:tc>
          <w:tcPr>
            <w:tcW w:w="1424" w:type="dxa"/>
            <w:tcBorders>
              <w:top w:val="nil"/>
              <w:left w:val="nil"/>
              <w:bottom w:val="single" w:sz="8" w:space="0" w:color="auto"/>
              <w:right w:val="single" w:sz="8" w:space="0" w:color="auto"/>
            </w:tcBorders>
            <w:shd w:val="clear" w:color="auto" w:fill="auto"/>
            <w:noWrap/>
            <w:vAlign w:val="center"/>
            <w:hideMark/>
          </w:tcPr>
          <w:p w14:paraId="729D8FAE" w14:textId="791DA0B9" w:rsidR="005F5B4D" w:rsidRPr="005F5B4D" w:rsidRDefault="005F5B4D" w:rsidP="00F7193A">
            <w:pPr>
              <w:spacing w:after="0"/>
              <w:jc w:val="right"/>
              <w:rPr>
                <w:rFonts w:ascii="Calibri" w:hAnsi="Calibri" w:cs="Calibri"/>
                <w:b/>
                <w:bCs/>
              </w:rPr>
            </w:pPr>
          </w:p>
        </w:tc>
      </w:tr>
    </w:tbl>
    <w:p w14:paraId="46604291" w14:textId="77777777" w:rsidR="00C6707D" w:rsidRDefault="00C6707D" w:rsidP="005F5B4D">
      <w:pPr>
        <w:pStyle w:val="ListParagraph"/>
        <w:numPr>
          <w:ilvl w:val="0"/>
          <w:numId w:val="0"/>
        </w:numPr>
        <w:ind w:left="360"/>
      </w:pPr>
    </w:p>
    <w:p w14:paraId="2ABF3B10" w14:textId="185122E0" w:rsidR="00A51FD5" w:rsidRDefault="0015167E" w:rsidP="00B93809">
      <w:pPr>
        <w:pStyle w:val="ListParagraph"/>
        <w:numPr>
          <w:ilvl w:val="0"/>
          <w:numId w:val="7"/>
        </w:numPr>
      </w:pPr>
      <w:r>
        <w:t>Given the forecast overspend on SWEP provision, officers have requested delegated authority to approve re-allocation of the forecast underspend of £</w:t>
      </w:r>
      <w:r w:rsidR="002C52DF">
        <w:t>12,689</w:t>
      </w:r>
      <w:r>
        <w:t xml:space="preserve"> </w:t>
      </w:r>
      <w:r w:rsidR="00C6707D">
        <w:t xml:space="preserve">in year to cover this additional cost. </w:t>
      </w:r>
      <w:r w:rsidR="006C6540">
        <w:t>The overall effect of these changes to the original allocations is a forecast</w:t>
      </w:r>
      <w:r w:rsidR="00A51FD5">
        <w:t xml:space="preserve"> underspend </w:t>
      </w:r>
      <w:r w:rsidR="00C6707D">
        <w:t xml:space="preserve">and the action outlined above is a forecast end of year position </w:t>
      </w:r>
      <w:r w:rsidR="00A51FD5" w:rsidRPr="00C6707D">
        <w:t>of £</w:t>
      </w:r>
      <w:r w:rsidR="00C6707D" w:rsidRPr="00C6707D">
        <w:t>Nil against the original budget of £1,744,197 with £1,724 carried forward into 2020/21.</w:t>
      </w:r>
    </w:p>
    <w:p w14:paraId="0549AB35" w14:textId="77777777" w:rsidR="00A51FD5" w:rsidRPr="00226587" w:rsidRDefault="00A51FD5" w:rsidP="00A51FD5">
      <w:pPr>
        <w:rPr>
          <w:b/>
        </w:rPr>
      </w:pPr>
      <w:r w:rsidRPr="00226587">
        <w:rPr>
          <w:b/>
        </w:rPr>
        <w:t>City Conversation on Rough Sleeping</w:t>
      </w:r>
    </w:p>
    <w:p w14:paraId="7639D449" w14:textId="77777777" w:rsidR="002240EF" w:rsidRPr="002240EF" w:rsidRDefault="002240EF" w:rsidP="00B93809">
      <w:pPr>
        <w:pStyle w:val="ListParagraph"/>
        <w:numPr>
          <w:ilvl w:val="0"/>
          <w:numId w:val="7"/>
        </w:numPr>
      </w:pPr>
      <w:r w:rsidRPr="00226587">
        <w:t>Arising from widespread public concern about street homelessness, in November</w:t>
      </w:r>
      <w:r w:rsidRPr="002240EF">
        <w:t xml:space="preserve"> 2017 the Council initiated a citywide conversation on rough sleeping to explore the causes and possible solutions to the problem. This conversation led to the development of the Oxford Homeless Movement. The Movement’s mission is to work constructively together to increase public awareness and understanding of rough sleeping, to generate funding and commitment in kind, and to find and deliver effective, lasting solutions to end rough sleeping in Oxford.</w:t>
      </w:r>
    </w:p>
    <w:p w14:paraId="2391F207" w14:textId="77777777" w:rsidR="002240EF" w:rsidRPr="002240EF" w:rsidRDefault="002240EF" w:rsidP="00B93809">
      <w:pPr>
        <w:pStyle w:val="ListParagraph"/>
        <w:numPr>
          <w:ilvl w:val="0"/>
          <w:numId w:val="7"/>
        </w:numPr>
        <w:rPr>
          <w:rFonts w:cs="Arial"/>
          <w:i/>
          <w:iCs/>
          <w:color w:val="002060"/>
        </w:rPr>
      </w:pPr>
      <w:r w:rsidRPr="002240EF">
        <w:t xml:space="preserve">The Movement was officially launched on 10 October 2019, World Homeless Day, with events at the Open House on Little Clarendon Street and through its official website </w:t>
      </w:r>
      <w:hyperlink r:id="rId9" w:history="1">
        <w:r w:rsidRPr="002240EF">
          <w:t>www.oxfordhomelessmovement.org.uk</w:t>
        </w:r>
      </w:hyperlink>
      <w:r>
        <w:t xml:space="preserve">. </w:t>
      </w:r>
      <w:r w:rsidRPr="002240EF">
        <w:t xml:space="preserve">Individuals and organisations </w:t>
      </w:r>
      <w:r>
        <w:t xml:space="preserve">were invited </w:t>
      </w:r>
      <w:r w:rsidRPr="002240EF">
        <w:t xml:space="preserve">to </w:t>
      </w:r>
      <w:r>
        <w:t>join the Movement by signing it</w:t>
      </w:r>
      <w:r w:rsidRPr="002240EF">
        <w:t>s</w:t>
      </w:r>
      <w:r>
        <w:t>’</w:t>
      </w:r>
      <w:r w:rsidRPr="002240EF">
        <w:t xml:space="preserve"> Charter. Currently over 400 people and organisations have signed including the City Council, University of Oxford Student Union and Beards Construction. </w:t>
      </w:r>
    </w:p>
    <w:p w14:paraId="30FEB39C" w14:textId="77777777" w:rsidR="002240EF" w:rsidRPr="002240EF" w:rsidRDefault="002240EF" w:rsidP="00B93809">
      <w:pPr>
        <w:pStyle w:val="ListParagraph"/>
        <w:numPr>
          <w:ilvl w:val="0"/>
          <w:numId w:val="7"/>
        </w:numPr>
        <w:rPr>
          <w:rFonts w:cs="Arial"/>
          <w:i/>
          <w:iCs/>
          <w:color w:val="002060"/>
        </w:rPr>
      </w:pPr>
      <w:r>
        <w:t>Reflecting the Movement’s commitment to ensuring that people with lived experience of homelessness have a voice, an</w:t>
      </w:r>
      <w:r w:rsidRPr="002240EF">
        <w:t xml:space="preserve"> independent Lived Experience Adviso</w:t>
      </w:r>
      <w:r>
        <w:t xml:space="preserve">ry Forum (LEAF) was launched, as a </w:t>
      </w:r>
      <w:r w:rsidRPr="002240EF">
        <w:t xml:space="preserve">group for and run by, people with lived experience of homelessness. The second Christmas Match fund for 2019 was </w:t>
      </w:r>
      <w:r w:rsidRPr="002240EF">
        <w:lastRenderedPageBreak/>
        <w:t xml:space="preserve">opened on 3 December 2019. Each </w:t>
      </w:r>
      <w:r>
        <w:t>pound</w:t>
      </w:r>
      <w:r w:rsidRPr="002240EF">
        <w:t xml:space="preserve"> raised is matched by funds from the Oxford Community Foundation (up to</w:t>
      </w:r>
      <w:r w:rsidR="00350F30">
        <w:t xml:space="preserve"> a maximum of</w:t>
      </w:r>
      <w:r w:rsidRPr="002240EF">
        <w:t xml:space="preserve"> £75k)</w:t>
      </w:r>
      <w:r w:rsidR="00350F30">
        <w:t xml:space="preserve"> with</w:t>
      </w:r>
      <w:r w:rsidRPr="002240EF">
        <w:t xml:space="preserve"> proceeds going to eight organisations working with </w:t>
      </w:r>
      <w:r w:rsidR="00350F30">
        <w:t xml:space="preserve">single homeless people </w:t>
      </w:r>
      <w:r w:rsidRPr="002240EF">
        <w:t>and to Floyds Row.</w:t>
      </w:r>
      <w:r w:rsidRPr="002240EF">
        <w:rPr>
          <w:rFonts w:cs="Arial"/>
          <w:i/>
          <w:iCs/>
          <w:color w:val="002060"/>
        </w:rPr>
        <w:t xml:space="preserve"> </w:t>
      </w:r>
    </w:p>
    <w:p w14:paraId="363D42EF" w14:textId="77777777" w:rsidR="00DD457E" w:rsidRDefault="00295CCF" w:rsidP="009F01C0">
      <w:pPr>
        <w:spacing w:before="240" w:after="0"/>
        <w:rPr>
          <w:b/>
        </w:rPr>
      </w:pPr>
      <w:r>
        <w:rPr>
          <w:b/>
        </w:rPr>
        <w:t>A</w:t>
      </w:r>
      <w:r w:rsidR="00DD457E" w:rsidRPr="00C56478">
        <w:rPr>
          <w:b/>
        </w:rPr>
        <w:t>llocation of Homelessness Prevention Funds 20</w:t>
      </w:r>
      <w:r w:rsidR="001F496D">
        <w:rPr>
          <w:b/>
        </w:rPr>
        <w:t>20</w:t>
      </w:r>
      <w:r w:rsidR="00DD457E" w:rsidRPr="00C56478">
        <w:rPr>
          <w:b/>
        </w:rPr>
        <w:t>/</w:t>
      </w:r>
      <w:r w:rsidR="00F3062B">
        <w:rPr>
          <w:b/>
        </w:rPr>
        <w:t>2</w:t>
      </w:r>
      <w:r w:rsidR="001F496D">
        <w:rPr>
          <w:b/>
        </w:rPr>
        <w:t>1</w:t>
      </w:r>
      <w:r w:rsidR="00DD457E" w:rsidRPr="00C56478">
        <w:rPr>
          <w:b/>
        </w:rPr>
        <w:t xml:space="preserve"> </w:t>
      </w:r>
    </w:p>
    <w:p w14:paraId="673DADCD" w14:textId="77777777" w:rsidR="007106A6" w:rsidRPr="007106A6" w:rsidRDefault="007106A6" w:rsidP="009F01C0">
      <w:pPr>
        <w:spacing w:before="120"/>
        <w:outlineLvl w:val="0"/>
        <w:rPr>
          <w:u w:val="single"/>
        </w:rPr>
      </w:pPr>
      <w:r w:rsidRPr="007106A6">
        <w:rPr>
          <w:u w:val="single"/>
        </w:rPr>
        <w:t>Strategic framework for commissioning and funding 20</w:t>
      </w:r>
      <w:r w:rsidR="001F496D">
        <w:rPr>
          <w:u w:val="single"/>
        </w:rPr>
        <w:t>20</w:t>
      </w:r>
      <w:r w:rsidR="004167AA">
        <w:rPr>
          <w:u w:val="single"/>
        </w:rPr>
        <w:t>/2</w:t>
      </w:r>
      <w:r w:rsidR="001F496D">
        <w:rPr>
          <w:u w:val="single"/>
        </w:rPr>
        <w:t>1</w:t>
      </w:r>
      <w:r w:rsidRPr="007106A6">
        <w:rPr>
          <w:u w:val="single"/>
        </w:rPr>
        <w:t xml:space="preserve">  </w:t>
      </w:r>
    </w:p>
    <w:p w14:paraId="44418FA7" w14:textId="77777777" w:rsidR="007106A6" w:rsidRPr="0066767A" w:rsidRDefault="007106A6" w:rsidP="00B93809">
      <w:pPr>
        <w:pStyle w:val="ListParagraph"/>
        <w:numPr>
          <w:ilvl w:val="0"/>
          <w:numId w:val="7"/>
        </w:numPr>
      </w:pPr>
      <w:r w:rsidRPr="0066767A">
        <w:t xml:space="preserve">The Council’s priorities in terms of tackling rough sleeping and single homelessness are set out in Priority 2 [Prevent homelessness and meet the needs of vulnerable people and rough sleepers] of its Housing and Homelessness Strategy 2018-2021 </w:t>
      </w:r>
      <w:r w:rsidRPr="00226587">
        <w:t>summarised at Appendix B – Strategic Priorities</w:t>
      </w:r>
      <w:r w:rsidRPr="0066767A">
        <w:t xml:space="preserve"> for preventing homelessness and meeting the needs of vulnerable people and rough sleepers. Consideration is also given to the national rough sleeping strategy published 2018.</w:t>
      </w:r>
    </w:p>
    <w:p w14:paraId="2230CF03" w14:textId="77777777" w:rsidR="00EA2DA0" w:rsidRPr="00EA2DA0" w:rsidRDefault="00B763E0" w:rsidP="00EA2DA0">
      <w:r w:rsidRPr="00EA2DA0">
        <w:rPr>
          <w:u w:val="single"/>
        </w:rPr>
        <w:t>Fundin</w:t>
      </w:r>
      <w:r w:rsidR="00295CCF" w:rsidRPr="00EA2DA0">
        <w:rPr>
          <w:u w:val="single"/>
        </w:rPr>
        <w:t>g 20</w:t>
      </w:r>
      <w:r w:rsidRPr="00EA2DA0">
        <w:rPr>
          <w:u w:val="single"/>
        </w:rPr>
        <w:t>20</w:t>
      </w:r>
      <w:r w:rsidR="00295CCF" w:rsidRPr="00EA2DA0">
        <w:rPr>
          <w:u w:val="single"/>
        </w:rPr>
        <w:t>/21</w:t>
      </w:r>
    </w:p>
    <w:p w14:paraId="45827BA8" w14:textId="16D8C4D6" w:rsidR="00EB151A" w:rsidRDefault="00B763E0" w:rsidP="00B93809">
      <w:pPr>
        <w:pStyle w:val="ListParagraph"/>
        <w:numPr>
          <w:ilvl w:val="0"/>
          <w:numId w:val="7"/>
        </w:numPr>
      </w:pPr>
      <w:r w:rsidRPr="00EB151A">
        <w:t>On 13th February the Council</w:t>
      </w:r>
      <w:r w:rsidR="00295CCF" w:rsidRPr="00EB151A">
        <w:t xml:space="preserve"> </w:t>
      </w:r>
      <w:r w:rsidR="00500C65">
        <w:t>will</w:t>
      </w:r>
      <w:r w:rsidR="00F7193A">
        <w:t xml:space="preserve"> </w:t>
      </w:r>
      <w:r w:rsidRPr="00EB151A">
        <w:t>agree its budget and Medium Term F</w:t>
      </w:r>
      <w:r w:rsidR="00295CCF" w:rsidRPr="00EB151A">
        <w:t>inancial Plan for the period 20</w:t>
      </w:r>
      <w:r w:rsidRPr="00EB151A">
        <w:t>20</w:t>
      </w:r>
      <w:r w:rsidR="00295CCF" w:rsidRPr="00EB151A">
        <w:t>-21</w:t>
      </w:r>
      <w:r w:rsidRPr="00EB151A">
        <w:t xml:space="preserve"> to 202</w:t>
      </w:r>
      <w:r w:rsidR="00295CCF" w:rsidRPr="00EB151A">
        <w:t>3</w:t>
      </w:r>
      <w:r w:rsidRPr="00EB151A">
        <w:t>-2</w:t>
      </w:r>
      <w:r w:rsidR="00295CCF" w:rsidRPr="00EB151A">
        <w:t>4</w:t>
      </w:r>
      <w:r w:rsidR="001F496D" w:rsidRPr="00EB151A">
        <w:t>.</w:t>
      </w:r>
      <w:r w:rsidR="00FB4BAA" w:rsidRPr="00EB151A">
        <w:t xml:space="preserve">  In the broadest terms, </w:t>
      </w:r>
      <w:r w:rsidR="00EB2F49">
        <w:t xml:space="preserve">the Council </w:t>
      </w:r>
      <w:r w:rsidR="00FB4BAA" w:rsidRPr="00EB151A">
        <w:t xml:space="preserve">commits a total of £5.5m </w:t>
      </w:r>
      <w:r w:rsidR="00EB2F49">
        <w:t>t</w:t>
      </w:r>
      <w:r w:rsidR="00FB4BAA" w:rsidRPr="00EB151A">
        <w:t xml:space="preserve">o homelessness and prevention services including activity such as temporary accommodation including sustainment, Home Choice and Rent Guarantee Scheme, Housing Advice, Options and Prevention and the Trailblazer Programme.  </w:t>
      </w:r>
    </w:p>
    <w:p w14:paraId="46919901" w14:textId="77777777" w:rsidR="0033560F" w:rsidRPr="00015506" w:rsidRDefault="0033560F" w:rsidP="00B93809">
      <w:pPr>
        <w:pStyle w:val="ListParagraph"/>
        <w:numPr>
          <w:ilvl w:val="0"/>
          <w:numId w:val="7"/>
        </w:numPr>
      </w:pPr>
      <w:r w:rsidRPr="00015506">
        <w:t>Included within this is a base budget of provision of £</w:t>
      </w:r>
      <w:r w:rsidRPr="00015506">
        <w:rPr>
          <w:rFonts w:cs="Arial"/>
          <w:color w:val="auto"/>
          <w:sz w:val="22"/>
          <w:szCs w:val="22"/>
        </w:rPr>
        <w:t>1,</w:t>
      </w:r>
      <w:r w:rsidRPr="008D7199">
        <w:rPr>
          <w:rFonts w:cs="Arial"/>
          <w:color w:val="auto"/>
          <w:sz w:val="22"/>
          <w:szCs w:val="22"/>
        </w:rPr>
        <w:t xml:space="preserve">669,559 </w:t>
      </w:r>
      <w:r w:rsidRPr="00015506">
        <w:t xml:space="preserve">per annum for spend in the area of rough sleeping and single homelessness although these allocations also include a number of subsidies of other internal services as well as prevention services linked to the Options team.  </w:t>
      </w:r>
    </w:p>
    <w:p w14:paraId="02D7CFB2" w14:textId="3899CB04" w:rsidR="00D77B5F" w:rsidRDefault="00D77B5F" w:rsidP="00B93809">
      <w:pPr>
        <w:pStyle w:val="ListParagraph"/>
        <w:numPr>
          <w:ilvl w:val="0"/>
          <w:numId w:val="7"/>
        </w:numPr>
      </w:pPr>
      <w:r w:rsidRPr="00AA517A">
        <w:t xml:space="preserve">A further allocation of £19,030 has been identified from reserves to cover the full cost of the increased contribution by Oxford City Council to the pooled </w:t>
      </w:r>
      <w:r w:rsidR="00AA517A">
        <w:t xml:space="preserve">budget </w:t>
      </w:r>
      <w:r w:rsidRPr="00AA517A">
        <w:t xml:space="preserve">arrangements. </w:t>
      </w:r>
      <w:r w:rsidR="00AA517A">
        <w:t>The City Council’s f</w:t>
      </w:r>
      <w:r w:rsidRPr="00AA517A">
        <w:t>ull contribution</w:t>
      </w:r>
      <w:r w:rsidR="00AA517A">
        <w:t xml:space="preserve"> to the pool will be</w:t>
      </w:r>
      <w:r w:rsidRPr="00AA517A">
        <w:t xml:space="preserve">  £219</w:t>
      </w:r>
      <w:r w:rsidR="00AA517A">
        <w:t>,030 in 2020/21</w:t>
      </w:r>
      <w:r w:rsidRPr="00AA517A">
        <w:t xml:space="preserve">, </w:t>
      </w:r>
      <w:r w:rsidR="00AA517A">
        <w:t xml:space="preserve">covered by the </w:t>
      </w:r>
      <w:r w:rsidRPr="00AA517A">
        <w:t>£200</w:t>
      </w:r>
      <w:r w:rsidR="00AA517A">
        <w:t>,000</w:t>
      </w:r>
      <w:r w:rsidRPr="00AA517A">
        <w:t xml:space="preserve"> increase to base </w:t>
      </w:r>
      <w:r w:rsidR="00AA517A">
        <w:t xml:space="preserve">allocated February 2019 </w:t>
      </w:r>
      <w:r w:rsidRPr="00AA517A">
        <w:t xml:space="preserve">and a further £19,030 from reserve) </w:t>
      </w:r>
    </w:p>
    <w:p w14:paraId="78E92474" w14:textId="77777777" w:rsidR="00060842" w:rsidRDefault="00060842" w:rsidP="00B93809">
      <w:pPr>
        <w:pStyle w:val="ListParagraph"/>
        <w:numPr>
          <w:ilvl w:val="0"/>
          <w:numId w:val="7"/>
        </w:numPr>
      </w:pPr>
      <w:r>
        <w:t>A sum of £59,750 is also available from carried forward reserves (from 2016/17) to help fund the cost of the combined Acacia / Housing First service</w:t>
      </w:r>
      <w:r w:rsidRPr="004E61B7">
        <w:t xml:space="preserve">. </w:t>
      </w:r>
    </w:p>
    <w:p w14:paraId="2C478DF9" w14:textId="2EBA48EF" w:rsidR="00EB151A" w:rsidRDefault="00EB151A" w:rsidP="00B93809">
      <w:pPr>
        <w:pStyle w:val="ListParagraph"/>
        <w:numPr>
          <w:ilvl w:val="0"/>
          <w:numId w:val="7"/>
        </w:numPr>
      </w:pPr>
      <w:r>
        <w:t xml:space="preserve">Following a detailed analysis of the provisions linked to the payment by results elements of the </w:t>
      </w:r>
      <w:proofErr w:type="spellStart"/>
      <w:r>
        <w:t>OxSPOT</w:t>
      </w:r>
      <w:proofErr w:type="spellEnd"/>
      <w:r>
        <w:t xml:space="preserve"> and Big Issue contracts over previous years, a sum of £</w:t>
      </w:r>
      <w:r w:rsidR="00060842">
        <w:t>51,299</w:t>
      </w:r>
      <w:r>
        <w:t xml:space="preserve"> has been confirmed as available. This has therefore been released into the 2020/21 budget, enabling the Council to be in a position to fund most of the services commissioned in 2019/20.</w:t>
      </w:r>
    </w:p>
    <w:p w14:paraId="02D4D0B9" w14:textId="484E975E" w:rsidR="0033560F" w:rsidRPr="00303851" w:rsidRDefault="0033560F" w:rsidP="00B93809">
      <w:pPr>
        <w:pStyle w:val="ListParagraph"/>
        <w:numPr>
          <w:ilvl w:val="0"/>
          <w:numId w:val="7"/>
        </w:numPr>
      </w:pPr>
      <w:r>
        <w:t>The</w:t>
      </w:r>
      <w:r w:rsidR="00236854">
        <w:t xml:space="preserve"> available budget is further enhanced by £5,000 </w:t>
      </w:r>
      <w:r>
        <w:t xml:space="preserve">which has been included in the Community Services Budget for continuation of the access to leisure services fund for homeless pathway clients. Officers have requested that the forecast underspend of </w:t>
      </w:r>
      <w:r>
        <w:rPr>
          <w:rFonts w:cs="Arial"/>
          <w:color w:val="auto"/>
          <w:szCs w:val="22"/>
        </w:rPr>
        <w:t>£1,724 from the 2019/20 allocation in the P</w:t>
      </w:r>
      <w:r w:rsidR="00303851">
        <w:rPr>
          <w:rFonts w:cs="Arial"/>
          <w:color w:val="auto"/>
          <w:szCs w:val="22"/>
        </w:rPr>
        <w:t xml:space="preserve">reventing </w:t>
      </w:r>
      <w:r>
        <w:rPr>
          <w:rFonts w:cs="Arial"/>
          <w:color w:val="auto"/>
          <w:szCs w:val="22"/>
        </w:rPr>
        <w:t>H</w:t>
      </w:r>
      <w:r w:rsidR="00303851">
        <w:rPr>
          <w:rFonts w:cs="Arial"/>
          <w:color w:val="auto"/>
          <w:szCs w:val="22"/>
        </w:rPr>
        <w:t xml:space="preserve">omelessness </w:t>
      </w:r>
      <w:r>
        <w:rPr>
          <w:rFonts w:cs="Arial"/>
          <w:color w:val="auto"/>
          <w:szCs w:val="22"/>
        </w:rPr>
        <w:t>G</w:t>
      </w:r>
      <w:r w:rsidR="00303851">
        <w:rPr>
          <w:rFonts w:cs="Arial"/>
          <w:color w:val="auto"/>
          <w:szCs w:val="22"/>
        </w:rPr>
        <w:t xml:space="preserve">rant </w:t>
      </w:r>
      <w:r>
        <w:rPr>
          <w:rFonts w:cs="Arial"/>
          <w:color w:val="auto"/>
          <w:szCs w:val="22"/>
        </w:rPr>
        <w:t>budget be carried forward into 2020/21 to support the continuation of the scheme, however this is dependent on the financial outturn for 2019/20 which will be reported to Cabinet July 2020, and has not therefore been included in the total budget for 2020/21.</w:t>
      </w:r>
    </w:p>
    <w:p w14:paraId="501E46AD" w14:textId="0A11D076" w:rsidR="006F273C" w:rsidRDefault="0033560F" w:rsidP="00B93809">
      <w:pPr>
        <w:pStyle w:val="ListParagraph"/>
        <w:numPr>
          <w:ilvl w:val="0"/>
          <w:numId w:val="7"/>
        </w:numPr>
      </w:pPr>
      <w:r>
        <w:t xml:space="preserve">Finally, </w:t>
      </w:r>
      <w:r w:rsidR="00236854" w:rsidRPr="004E61B7">
        <w:t>the Oxfordshire District Councils</w:t>
      </w:r>
      <w:r w:rsidR="00236854">
        <w:t>’ continuing contribution</w:t>
      </w:r>
      <w:r w:rsidR="00236854" w:rsidRPr="004E61B7">
        <w:t xml:space="preserve"> towards SWEP provision of £3,000</w:t>
      </w:r>
      <w:r>
        <w:t xml:space="preserve"> is also included</w:t>
      </w:r>
      <w:r w:rsidR="00236854">
        <w:t>. Together these sums provide a total budget for 2020/21 o</w:t>
      </w:r>
      <w:r w:rsidR="00500C65">
        <w:t>f</w:t>
      </w:r>
      <w:r w:rsidR="00236854">
        <w:t xml:space="preserve"> </w:t>
      </w:r>
      <w:r w:rsidR="00236854" w:rsidRPr="00236854">
        <w:rPr>
          <w:b/>
        </w:rPr>
        <w:t>£1,</w:t>
      </w:r>
      <w:r w:rsidR="001F5E38">
        <w:rPr>
          <w:b/>
        </w:rPr>
        <w:t>807</w:t>
      </w:r>
      <w:r w:rsidR="00EB151A">
        <w:rPr>
          <w:b/>
        </w:rPr>
        <w:t>,638</w:t>
      </w:r>
      <w:r w:rsidR="00B763E0" w:rsidRPr="004E61B7">
        <w:t xml:space="preserve">. </w:t>
      </w:r>
    </w:p>
    <w:p w14:paraId="348A34B0" w14:textId="77777777" w:rsidR="00236854" w:rsidRDefault="00236854" w:rsidP="00B93809">
      <w:pPr>
        <w:pStyle w:val="ListParagraph"/>
        <w:numPr>
          <w:ilvl w:val="0"/>
          <w:numId w:val="7"/>
        </w:numPr>
      </w:pPr>
      <w:r>
        <w:lastRenderedPageBreak/>
        <w:t xml:space="preserve">In line with previous reports to Cabinet £405,796 of this will be </w:t>
      </w:r>
      <w:r w:rsidR="006F273C">
        <w:t xml:space="preserve">transferred to fund the delivery of services from Floyds Row, leaving a net budget of </w:t>
      </w:r>
      <w:r w:rsidR="006F273C" w:rsidRPr="006F273C">
        <w:rPr>
          <w:b/>
        </w:rPr>
        <w:t>£1,</w:t>
      </w:r>
      <w:r w:rsidR="001F5E38">
        <w:rPr>
          <w:b/>
        </w:rPr>
        <w:t>401</w:t>
      </w:r>
      <w:r w:rsidR="00EB151A">
        <w:rPr>
          <w:b/>
        </w:rPr>
        <w:t>,842</w:t>
      </w:r>
      <w:r w:rsidR="006F273C" w:rsidRPr="006F273C">
        <w:t xml:space="preserve"> for 2020/21. </w:t>
      </w:r>
    </w:p>
    <w:p w14:paraId="3514159C" w14:textId="77777777" w:rsidR="00F3062B" w:rsidRPr="00CF26D2" w:rsidRDefault="00F3062B" w:rsidP="00CF26D2">
      <w:pPr>
        <w:pStyle w:val="Heading1"/>
        <w:numPr>
          <w:ilvl w:val="0"/>
          <w:numId w:val="0"/>
        </w:numPr>
        <w:rPr>
          <w:b w:val="0"/>
          <w:u w:val="single"/>
        </w:rPr>
      </w:pPr>
      <w:r w:rsidRPr="00CF26D2">
        <w:rPr>
          <w:b w:val="0"/>
          <w:u w:val="single"/>
        </w:rPr>
        <w:t xml:space="preserve">Proposed allocations </w:t>
      </w:r>
      <w:r w:rsidR="00D77B5F">
        <w:rPr>
          <w:b w:val="0"/>
          <w:u w:val="single"/>
        </w:rPr>
        <w:t>2020/2021</w:t>
      </w:r>
    </w:p>
    <w:p w14:paraId="5E8DDB0F" w14:textId="77777777" w:rsidR="001E11DA" w:rsidRDefault="00F3062B" w:rsidP="00B93809">
      <w:pPr>
        <w:pStyle w:val="ListParagraph"/>
        <w:numPr>
          <w:ilvl w:val="0"/>
          <w:numId w:val="7"/>
        </w:numPr>
      </w:pPr>
      <w:r>
        <w:t>With this in mind, the proposed allocation</w:t>
      </w:r>
      <w:r w:rsidR="00CF26D2">
        <w:t>s</w:t>
      </w:r>
      <w:r>
        <w:t xml:space="preserve"> for 20</w:t>
      </w:r>
      <w:r w:rsidR="00D77B5F">
        <w:t>20</w:t>
      </w:r>
      <w:r>
        <w:t>/</w:t>
      </w:r>
      <w:r w:rsidR="00CF26D2">
        <w:t>2</w:t>
      </w:r>
      <w:r w:rsidR="00D77B5F">
        <w:t>1</w:t>
      </w:r>
      <w:r w:rsidR="00CF26D2">
        <w:t xml:space="preserve"> are </w:t>
      </w:r>
      <w:r>
        <w:t>shown</w:t>
      </w:r>
      <w:r w:rsidR="001E11DA">
        <w:t xml:space="preserve"> in the table below and with more details on the areas of commissioning</w:t>
      </w:r>
      <w:r>
        <w:t xml:space="preserve"> at Appendix </w:t>
      </w:r>
      <w:r w:rsidR="00CF26D2">
        <w:t>D</w:t>
      </w:r>
      <w:r>
        <w:t xml:space="preserve">. </w:t>
      </w:r>
    </w:p>
    <w:p w14:paraId="0319C30B" w14:textId="31A069EE" w:rsidR="00286A7D" w:rsidRDefault="00CF26D2" w:rsidP="00B93809">
      <w:pPr>
        <w:pStyle w:val="ListParagraph"/>
        <w:numPr>
          <w:ilvl w:val="0"/>
          <w:numId w:val="7"/>
        </w:numPr>
      </w:pPr>
      <w:r>
        <w:t>In summary, it is proposed that</w:t>
      </w:r>
      <w:r w:rsidR="0028408C">
        <w:t>,</w:t>
      </w:r>
      <w:r w:rsidR="001E11DA">
        <w:t xml:space="preserve"> once £405,796 </w:t>
      </w:r>
      <w:r w:rsidR="00832049">
        <w:t xml:space="preserve">is </w:t>
      </w:r>
      <w:r w:rsidR="001E11DA">
        <w:t>transferred to fund the delivery of services from Floyds Row</w:t>
      </w:r>
      <w:r w:rsidR="0028408C">
        <w:t>,</w:t>
      </w:r>
      <w:r w:rsidR="00832049">
        <w:t xml:space="preserve"> the net budget of £1,</w:t>
      </w:r>
      <w:r w:rsidR="001F5E38">
        <w:t>401</w:t>
      </w:r>
      <w:r w:rsidR="00832049">
        <w:t xml:space="preserve">,842 is used to maintain </w:t>
      </w:r>
      <w:r>
        <w:t xml:space="preserve">spending across all service areas, </w:t>
      </w:r>
      <w:r w:rsidR="00286A7D">
        <w:t>at</w:t>
      </w:r>
      <w:r w:rsidR="00272098">
        <w:t xml:space="preserve"> similar levels to the</w:t>
      </w:r>
      <w:r w:rsidR="00286A7D">
        <w:t xml:space="preserve"> </w:t>
      </w:r>
      <w:r w:rsidR="00D77B5F">
        <w:t>20</w:t>
      </w:r>
      <w:r w:rsidR="00832049">
        <w:t>19</w:t>
      </w:r>
      <w:r w:rsidR="00D77B5F">
        <w:t>/202</w:t>
      </w:r>
      <w:r w:rsidR="00832049">
        <w:t>0</w:t>
      </w:r>
      <w:r w:rsidR="00272098">
        <w:t xml:space="preserve"> allocations, with the following exceptions</w:t>
      </w:r>
      <w:r w:rsidR="007A75A7">
        <w:t>:</w:t>
      </w:r>
    </w:p>
    <w:p w14:paraId="0E5C2264" w14:textId="77777777" w:rsidR="00832049" w:rsidRDefault="00832049" w:rsidP="00B93809">
      <w:pPr>
        <w:pStyle w:val="ListParagraph"/>
        <w:numPr>
          <w:ilvl w:val="0"/>
          <w:numId w:val="12"/>
        </w:numPr>
        <w:spacing w:after="60"/>
      </w:pPr>
      <w:r>
        <w:t>Acacia / Housing First – the overall allocation is reduced by £11,900 to correct the error made in the 2019/20 allocation</w:t>
      </w:r>
    </w:p>
    <w:p w14:paraId="7F9FFBF1" w14:textId="77777777" w:rsidR="00832049" w:rsidRDefault="00832049" w:rsidP="00B93809">
      <w:pPr>
        <w:pStyle w:val="ListParagraph"/>
        <w:numPr>
          <w:ilvl w:val="0"/>
          <w:numId w:val="12"/>
        </w:numPr>
        <w:spacing w:after="60"/>
      </w:pPr>
      <w:r>
        <w:t>Matilda House – the allocation is £6,250 higher than in 2019/20, reflecting the whole year cost of the service</w:t>
      </w:r>
    </w:p>
    <w:p w14:paraId="37914470" w14:textId="77777777" w:rsidR="00832049" w:rsidRDefault="00832049" w:rsidP="00B93809">
      <w:pPr>
        <w:pStyle w:val="ListParagraph"/>
        <w:numPr>
          <w:ilvl w:val="0"/>
          <w:numId w:val="12"/>
        </w:numPr>
        <w:spacing w:after="60"/>
      </w:pPr>
      <w:r>
        <w:t>Pre-tenancy course [Connection Support] and Sanctuary Scheme – allocations reduced to £nil as these will instead be funded from the Flexible Homelessness Grant</w:t>
      </w:r>
    </w:p>
    <w:p w14:paraId="5AFB4824" w14:textId="77777777" w:rsidR="00832049" w:rsidRDefault="00832049" w:rsidP="00B93809">
      <w:pPr>
        <w:pStyle w:val="ListParagraph"/>
        <w:numPr>
          <w:ilvl w:val="0"/>
          <w:numId w:val="12"/>
        </w:numPr>
        <w:spacing w:after="60"/>
      </w:pPr>
      <w:r>
        <w:t>Emmaus and the Big Issue Foundation – allocations reduced to £nil as these commissions terminated in 2019/20</w:t>
      </w:r>
    </w:p>
    <w:p w14:paraId="750B638B" w14:textId="77777777" w:rsidR="00832049" w:rsidRDefault="00832049" w:rsidP="00B93809">
      <w:pPr>
        <w:pStyle w:val="ListParagraph"/>
        <w:numPr>
          <w:ilvl w:val="0"/>
          <w:numId w:val="12"/>
        </w:numPr>
        <w:spacing w:after="60"/>
      </w:pPr>
      <w:r>
        <w:t xml:space="preserve">Emergency bed for a young person – allocation reduced to £nil as this should be covered through the re-commissioning of the countywide Young Person’s Pathway </w:t>
      </w:r>
    </w:p>
    <w:p w14:paraId="50F6BCDD" w14:textId="77777777" w:rsidR="00832049" w:rsidRDefault="00832049" w:rsidP="00B93809">
      <w:pPr>
        <w:pStyle w:val="ListParagraph"/>
        <w:numPr>
          <w:ilvl w:val="0"/>
          <w:numId w:val="12"/>
        </w:numPr>
        <w:spacing w:after="60"/>
      </w:pPr>
      <w:proofErr w:type="spellStart"/>
      <w:r>
        <w:t>OxTHINK</w:t>
      </w:r>
      <w:proofErr w:type="spellEnd"/>
      <w:r>
        <w:t xml:space="preserve"> - allocation reduced by £245 to reflect the slightly lower cost of providing licences in 2019/20</w:t>
      </w:r>
    </w:p>
    <w:p w14:paraId="24B83D62" w14:textId="3D9B9D45" w:rsidR="00E93B43" w:rsidRPr="002451EB" w:rsidRDefault="00832049" w:rsidP="00B93809">
      <w:pPr>
        <w:pStyle w:val="ListParagraph"/>
        <w:numPr>
          <w:ilvl w:val="0"/>
          <w:numId w:val="12"/>
        </w:numPr>
        <w:spacing w:after="60"/>
      </w:pPr>
      <w:r>
        <w:t xml:space="preserve">Network development – allocation reduced to £nil as it </w:t>
      </w:r>
      <w:r w:rsidRPr="0028408C">
        <w:rPr>
          <w:rFonts w:cs="Arial"/>
          <w:color w:val="auto"/>
        </w:rPr>
        <w:t xml:space="preserve">is </w:t>
      </w:r>
      <w:r w:rsidR="00500C65">
        <w:rPr>
          <w:rFonts w:cs="Arial"/>
          <w:color w:val="auto"/>
        </w:rPr>
        <w:t>anticipated</w:t>
      </w:r>
      <w:r w:rsidRPr="0028408C">
        <w:rPr>
          <w:rFonts w:cs="Arial"/>
          <w:color w:val="auto"/>
        </w:rPr>
        <w:t xml:space="preserve"> that the development of a countywide strategy for rough sleeping and single homelessness will throw light on what is needed to develop the capacity and capability of the workforce.</w:t>
      </w:r>
    </w:p>
    <w:p w14:paraId="4B179CF0" w14:textId="77777777" w:rsidR="00E93B43" w:rsidRDefault="00E93B43" w:rsidP="00B93809">
      <w:pPr>
        <w:pStyle w:val="ListParagraph"/>
        <w:numPr>
          <w:ilvl w:val="0"/>
          <w:numId w:val="12"/>
        </w:numPr>
        <w:spacing w:after="60"/>
        <w:sectPr w:rsidR="00E93B43" w:rsidSect="004E61B7">
          <w:footerReference w:type="even" r:id="rId10"/>
          <w:headerReference w:type="first" r:id="rId11"/>
          <w:footerReference w:type="first" r:id="rId12"/>
          <w:pgSz w:w="11906" w:h="16838" w:code="9"/>
          <w:pgMar w:top="1418" w:right="1304" w:bottom="1304" w:left="1304" w:header="1134" w:footer="680" w:gutter="0"/>
          <w:cols w:space="708"/>
          <w:titlePg/>
          <w:docGrid w:linePitch="360"/>
        </w:sectPr>
      </w:pPr>
      <w:r>
        <w:t xml:space="preserve">Contingency – slight reduction of £87 on the 2019/20 allocation </w:t>
      </w:r>
    </w:p>
    <w:p w14:paraId="63EC6FD6" w14:textId="77777777" w:rsidR="005D6ECD" w:rsidRPr="001E11DA" w:rsidRDefault="001E11DA" w:rsidP="001E11DA">
      <w:pPr>
        <w:ind w:left="807" w:hanging="360"/>
        <w:rPr>
          <w:b/>
        </w:rPr>
      </w:pPr>
      <w:r w:rsidRPr="001E11DA">
        <w:rPr>
          <w:b/>
        </w:rPr>
        <w:lastRenderedPageBreak/>
        <w:t>Proposed allocations 2020/21</w:t>
      </w:r>
    </w:p>
    <w:tbl>
      <w:tblPr>
        <w:tblW w:w="14034" w:type="dxa"/>
        <w:tblInd w:w="-5" w:type="dxa"/>
        <w:tblLook w:val="04A0" w:firstRow="1" w:lastRow="0" w:firstColumn="1" w:lastColumn="0" w:noHBand="0" w:noVBand="1"/>
      </w:tblPr>
      <w:tblGrid>
        <w:gridCol w:w="4580"/>
        <w:gridCol w:w="1320"/>
        <w:gridCol w:w="1280"/>
        <w:gridCol w:w="1260"/>
        <w:gridCol w:w="5594"/>
      </w:tblGrid>
      <w:tr w:rsidR="005D6ECD" w:rsidRPr="005D6ECD" w14:paraId="543B85E8" w14:textId="77777777" w:rsidTr="001E11DA">
        <w:trPr>
          <w:trHeight w:val="780"/>
        </w:trPr>
        <w:tc>
          <w:tcPr>
            <w:tcW w:w="4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8B5DFB" w14:textId="77777777" w:rsidR="005D6ECD" w:rsidRPr="005D6ECD" w:rsidRDefault="005D6ECD" w:rsidP="005D6ECD">
            <w:pPr>
              <w:spacing w:after="0"/>
              <w:jc w:val="center"/>
              <w:rPr>
                <w:rFonts w:cs="Arial"/>
                <w:b/>
                <w:bCs/>
                <w:color w:val="auto"/>
                <w:sz w:val="20"/>
                <w:szCs w:val="20"/>
              </w:rPr>
            </w:pPr>
            <w:r w:rsidRPr="005D6ECD">
              <w:rPr>
                <w:rFonts w:cs="Arial"/>
                <w:b/>
                <w:bCs/>
                <w:color w:val="auto"/>
                <w:sz w:val="20"/>
                <w:szCs w:val="20"/>
              </w:rPr>
              <w:t>Service areas</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14:paraId="7DA1159C" w14:textId="77777777" w:rsidR="005D6ECD" w:rsidRPr="005D6ECD" w:rsidRDefault="005D6ECD" w:rsidP="005D6ECD">
            <w:pPr>
              <w:spacing w:after="0"/>
              <w:jc w:val="right"/>
              <w:rPr>
                <w:rFonts w:cs="Arial"/>
                <w:b/>
                <w:bCs/>
                <w:color w:val="auto"/>
                <w:sz w:val="20"/>
                <w:szCs w:val="20"/>
              </w:rPr>
            </w:pPr>
            <w:r w:rsidRPr="005D6ECD">
              <w:rPr>
                <w:rFonts w:cs="Arial"/>
                <w:b/>
                <w:bCs/>
                <w:color w:val="auto"/>
                <w:sz w:val="20"/>
                <w:szCs w:val="20"/>
              </w:rPr>
              <w:t>Allocation 2019-20</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14:paraId="27C7010E" w14:textId="77777777" w:rsidR="005D6ECD" w:rsidRPr="005D6ECD" w:rsidRDefault="005D6ECD" w:rsidP="005D6ECD">
            <w:pPr>
              <w:spacing w:after="0"/>
              <w:jc w:val="right"/>
              <w:rPr>
                <w:rFonts w:cs="Arial"/>
                <w:b/>
                <w:bCs/>
                <w:color w:val="auto"/>
                <w:sz w:val="20"/>
                <w:szCs w:val="20"/>
              </w:rPr>
            </w:pPr>
            <w:r w:rsidRPr="005D6ECD">
              <w:rPr>
                <w:rFonts w:cs="Arial"/>
                <w:b/>
                <w:bCs/>
                <w:color w:val="auto"/>
                <w:sz w:val="20"/>
                <w:szCs w:val="20"/>
              </w:rPr>
              <w:t>Proposed Allocation 2020-21</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18802D03" w14:textId="77777777" w:rsidR="005D6ECD" w:rsidRPr="005D6ECD" w:rsidRDefault="005D6ECD" w:rsidP="005D6ECD">
            <w:pPr>
              <w:spacing w:after="0"/>
              <w:jc w:val="right"/>
              <w:rPr>
                <w:rFonts w:cs="Arial"/>
                <w:b/>
                <w:bCs/>
                <w:color w:val="auto"/>
                <w:sz w:val="20"/>
                <w:szCs w:val="20"/>
              </w:rPr>
            </w:pPr>
            <w:r w:rsidRPr="005D6ECD">
              <w:rPr>
                <w:rFonts w:cs="Arial"/>
                <w:b/>
                <w:bCs/>
                <w:color w:val="auto"/>
                <w:sz w:val="20"/>
                <w:szCs w:val="20"/>
              </w:rPr>
              <w:t>Difference 2019-20</w:t>
            </w:r>
          </w:p>
        </w:tc>
        <w:tc>
          <w:tcPr>
            <w:tcW w:w="5594" w:type="dxa"/>
            <w:tcBorders>
              <w:top w:val="single" w:sz="4" w:space="0" w:color="auto"/>
              <w:left w:val="nil"/>
              <w:bottom w:val="single" w:sz="4" w:space="0" w:color="auto"/>
              <w:right w:val="single" w:sz="4" w:space="0" w:color="auto"/>
            </w:tcBorders>
            <w:shd w:val="clear" w:color="auto" w:fill="auto"/>
            <w:vAlign w:val="center"/>
            <w:hideMark/>
          </w:tcPr>
          <w:p w14:paraId="084B850A" w14:textId="77777777" w:rsidR="005D6ECD" w:rsidRPr="005D6ECD" w:rsidRDefault="005D6ECD" w:rsidP="005D6ECD">
            <w:pPr>
              <w:spacing w:after="0"/>
              <w:jc w:val="center"/>
              <w:rPr>
                <w:rFonts w:cs="Arial"/>
                <w:b/>
                <w:bCs/>
                <w:color w:val="auto"/>
                <w:sz w:val="20"/>
                <w:szCs w:val="20"/>
              </w:rPr>
            </w:pPr>
            <w:r w:rsidRPr="005D6ECD">
              <w:rPr>
                <w:rFonts w:cs="Arial"/>
                <w:b/>
                <w:bCs/>
                <w:color w:val="auto"/>
                <w:sz w:val="20"/>
                <w:szCs w:val="20"/>
              </w:rPr>
              <w:t>Comments</w:t>
            </w:r>
          </w:p>
        </w:tc>
      </w:tr>
      <w:tr w:rsidR="005D6ECD" w:rsidRPr="005D6ECD" w14:paraId="3D7A928F" w14:textId="77777777" w:rsidTr="001E11DA">
        <w:trPr>
          <w:trHeight w:val="260"/>
        </w:trPr>
        <w:tc>
          <w:tcPr>
            <w:tcW w:w="4580" w:type="dxa"/>
            <w:tcBorders>
              <w:top w:val="nil"/>
              <w:left w:val="single" w:sz="4" w:space="0" w:color="auto"/>
              <w:bottom w:val="single" w:sz="4" w:space="0" w:color="auto"/>
              <w:right w:val="single" w:sz="4" w:space="0" w:color="auto"/>
            </w:tcBorders>
            <w:shd w:val="clear" w:color="000000" w:fill="CCC0DA"/>
            <w:noWrap/>
            <w:vAlign w:val="center"/>
            <w:hideMark/>
          </w:tcPr>
          <w:p w14:paraId="0A8CF4BE" w14:textId="77777777" w:rsidR="005D6ECD" w:rsidRPr="005D6ECD" w:rsidRDefault="005D6ECD" w:rsidP="005D6ECD">
            <w:pPr>
              <w:spacing w:after="0"/>
              <w:jc w:val="center"/>
              <w:rPr>
                <w:rFonts w:cs="Arial"/>
                <w:b/>
                <w:bCs/>
                <w:color w:val="auto"/>
                <w:sz w:val="20"/>
                <w:szCs w:val="20"/>
              </w:rPr>
            </w:pPr>
            <w:r w:rsidRPr="005D6ECD">
              <w:rPr>
                <w:rFonts w:cs="Arial"/>
                <w:b/>
                <w:bCs/>
                <w:color w:val="auto"/>
                <w:sz w:val="20"/>
                <w:szCs w:val="20"/>
              </w:rPr>
              <w:t>Initial Engagement and Assessment</w:t>
            </w:r>
          </w:p>
        </w:tc>
        <w:tc>
          <w:tcPr>
            <w:tcW w:w="1320" w:type="dxa"/>
            <w:tcBorders>
              <w:top w:val="nil"/>
              <w:left w:val="nil"/>
              <w:bottom w:val="single" w:sz="4" w:space="0" w:color="auto"/>
              <w:right w:val="single" w:sz="4" w:space="0" w:color="auto"/>
            </w:tcBorders>
            <w:shd w:val="clear" w:color="000000" w:fill="CCC0DA"/>
            <w:noWrap/>
            <w:vAlign w:val="center"/>
            <w:hideMark/>
          </w:tcPr>
          <w:p w14:paraId="5C95E03C" w14:textId="77777777" w:rsidR="005D6ECD" w:rsidRPr="005D6ECD" w:rsidRDefault="005D6ECD" w:rsidP="005D6ECD">
            <w:pPr>
              <w:spacing w:after="0"/>
              <w:jc w:val="right"/>
              <w:rPr>
                <w:rFonts w:cs="Arial"/>
                <w:b/>
                <w:bCs/>
                <w:color w:val="auto"/>
                <w:sz w:val="20"/>
                <w:szCs w:val="20"/>
              </w:rPr>
            </w:pPr>
            <w:r w:rsidRPr="005D6ECD">
              <w:rPr>
                <w:rFonts w:cs="Arial"/>
                <w:b/>
                <w:bCs/>
                <w:color w:val="auto"/>
                <w:sz w:val="20"/>
                <w:szCs w:val="20"/>
              </w:rPr>
              <w:t>398,393</w:t>
            </w:r>
          </w:p>
        </w:tc>
        <w:tc>
          <w:tcPr>
            <w:tcW w:w="1280" w:type="dxa"/>
            <w:tcBorders>
              <w:top w:val="nil"/>
              <w:left w:val="nil"/>
              <w:bottom w:val="single" w:sz="4" w:space="0" w:color="auto"/>
              <w:right w:val="single" w:sz="4" w:space="0" w:color="auto"/>
            </w:tcBorders>
            <w:shd w:val="clear" w:color="000000" w:fill="CCC0DA"/>
            <w:noWrap/>
            <w:vAlign w:val="center"/>
            <w:hideMark/>
          </w:tcPr>
          <w:p w14:paraId="7CC83503" w14:textId="77777777" w:rsidR="005D6ECD" w:rsidRPr="005D6ECD" w:rsidRDefault="005D6ECD" w:rsidP="005D6ECD">
            <w:pPr>
              <w:spacing w:after="0"/>
              <w:jc w:val="right"/>
              <w:rPr>
                <w:rFonts w:cs="Arial"/>
                <w:b/>
                <w:bCs/>
                <w:color w:val="auto"/>
                <w:sz w:val="20"/>
                <w:szCs w:val="20"/>
              </w:rPr>
            </w:pPr>
            <w:r w:rsidRPr="005D6ECD">
              <w:rPr>
                <w:rFonts w:cs="Arial"/>
                <w:b/>
                <w:bCs/>
                <w:color w:val="auto"/>
                <w:sz w:val="20"/>
                <w:szCs w:val="20"/>
              </w:rPr>
              <w:t>47,500</w:t>
            </w:r>
          </w:p>
        </w:tc>
        <w:tc>
          <w:tcPr>
            <w:tcW w:w="1260" w:type="dxa"/>
            <w:tcBorders>
              <w:top w:val="nil"/>
              <w:left w:val="nil"/>
              <w:bottom w:val="single" w:sz="4" w:space="0" w:color="auto"/>
              <w:right w:val="single" w:sz="4" w:space="0" w:color="auto"/>
            </w:tcBorders>
            <w:shd w:val="clear" w:color="000000" w:fill="CCC0DA"/>
            <w:noWrap/>
            <w:vAlign w:val="center"/>
            <w:hideMark/>
          </w:tcPr>
          <w:p w14:paraId="27A69E6A" w14:textId="77777777" w:rsidR="005D6ECD" w:rsidRPr="005D6ECD" w:rsidRDefault="005D6ECD" w:rsidP="005D6ECD">
            <w:pPr>
              <w:spacing w:after="0"/>
              <w:jc w:val="right"/>
              <w:rPr>
                <w:rFonts w:cs="Arial"/>
                <w:b/>
                <w:bCs/>
                <w:color w:val="auto"/>
                <w:sz w:val="20"/>
                <w:szCs w:val="20"/>
              </w:rPr>
            </w:pPr>
            <w:r w:rsidRPr="005D6ECD">
              <w:rPr>
                <w:rFonts w:cs="Arial"/>
                <w:b/>
                <w:bCs/>
                <w:color w:val="auto"/>
                <w:sz w:val="20"/>
                <w:szCs w:val="20"/>
              </w:rPr>
              <w:t>-350,893</w:t>
            </w:r>
          </w:p>
        </w:tc>
        <w:tc>
          <w:tcPr>
            <w:tcW w:w="5594" w:type="dxa"/>
            <w:tcBorders>
              <w:top w:val="nil"/>
              <w:left w:val="nil"/>
              <w:bottom w:val="single" w:sz="4" w:space="0" w:color="auto"/>
              <w:right w:val="single" w:sz="4" w:space="0" w:color="auto"/>
            </w:tcBorders>
            <w:shd w:val="clear" w:color="000000" w:fill="CCC0DA"/>
            <w:vAlign w:val="center"/>
            <w:hideMark/>
          </w:tcPr>
          <w:p w14:paraId="3E1818C2" w14:textId="77777777" w:rsidR="005D6ECD" w:rsidRPr="005D6ECD" w:rsidRDefault="005D6ECD" w:rsidP="005D6ECD">
            <w:pPr>
              <w:spacing w:after="0"/>
              <w:jc w:val="center"/>
              <w:rPr>
                <w:rFonts w:cs="Arial"/>
                <w:b/>
                <w:bCs/>
                <w:color w:val="auto"/>
                <w:sz w:val="20"/>
                <w:szCs w:val="20"/>
              </w:rPr>
            </w:pPr>
            <w:r w:rsidRPr="005D6ECD">
              <w:rPr>
                <w:rFonts w:cs="Arial"/>
                <w:b/>
                <w:bCs/>
                <w:color w:val="auto"/>
                <w:sz w:val="20"/>
                <w:szCs w:val="20"/>
              </w:rPr>
              <w:t> </w:t>
            </w:r>
          </w:p>
        </w:tc>
      </w:tr>
      <w:tr w:rsidR="005D6ECD" w:rsidRPr="005D6ECD" w14:paraId="4A2DFF8D" w14:textId="77777777" w:rsidTr="001E11DA">
        <w:trPr>
          <w:trHeight w:val="260"/>
        </w:trPr>
        <w:tc>
          <w:tcPr>
            <w:tcW w:w="4580" w:type="dxa"/>
            <w:tcBorders>
              <w:top w:val="nil"/>
              <w:left w:val="single" w:sz="4" w:space="0" w:color="auto"/>
              <w:bottom w:val="single" w:sz="4" w:space="0" w:color="auto"/>
              <w:right w:val="single" w:sz="4" w:space="0" w:color="auto"/>
            </w:tcBorders>
            <w:shd w:val="clear" w:color="auto" w:fill="auto"/>
            <w:vAlign w:val="center"/>
            <w:hideMark/>
          </w:tcPr>
          <w:p w14:paraId="225547C0" w14:textId="77777777" w:rsidR="005D6ECD" w:rsidRPr="005D6ECD" w:rsidRDefault="005D6ECD" w:rsidP="005D6ECD">
            <w:pPr>
              <w:spacing w:after="0"/>
              <w:rPr>
                <w:rFonts w:cs="Arial"/>
                <w:color w:val="auto"/>
                <w:sz w:val="20"/>
                <w:szCs w:val="20"/>
              </w:rPr>
            </w:pPr>
            <w:r w:rsidRPr="005D6ECD">
              <w:rPr>
                <w:rFonts w:cs="Arial"/>
                <w:color w:val="auto"/>
                <w:sz w:val="20"/>
                <w:szCs w:val="20"/>
              </w:rPr>
              <w:t>OXSPOT</w:t>
            </w:r>
          </w:p>
        </w:tc>
        <w:tc>
          <w:tcPr>
            <w:tcW w:w="1320" w:type="dxa"/>
            <w:tcBorders>
              <w:top w:val="nil"/>
              <w:left w:val="nil"/>
              <w:bottom w:val="single" w:sz="4" w:space="0" w:color="auto"/>
              <w:right w:val="single" w:sz="4" w:space="0" w:color="auto"/>
            </w:tcBorders>
            <w:shd w:val="clear" w:color="auto" w:fill="auto"/>
            <w:noWrap/>
            <w:vAlign w:val="center"/>
            <w:hideMark/>
          </w:tcPr>
          <w:p w14:paraId="3CAE5563" w14:textId="77777777" w:rsidR="005D6ECD" w:rsidRPr="005D6ECD" w:rsidRDefault="005D6ECD" w:rsidP="005D6ECD">
            <w:pPr>
              <w:spacing w:after="0"/>
              <w:jc w:val="right"/>
              <w:rPr>
                <w:rFonts w:cs="Arial"/>
                <w:color w:val="auto"/>
                <w:sz w:val="20"/>
                <w:szCs w:val="20"/>
              </w:rPr>
            </w:pPr>
            <w:r w:rsidRPr="005D6ECD">
              <w:rPr>
                <w:rFonts w:cs="Arial"/>
                <w:color w:val="auto"/>
                <w:sz w:val="20"/>
                <w:szCs w:val="20"/>
              </w:rPr>
              <w:t>350,893</w:t>
            </w:r>
          </w:p>
        </w:tc>
        <w:tc>
          <w:tcPr>
            <w:tcW w:w="1280" w:type="dxa"/>
            <w:tcBorders>
              <w:top w:val="nil"/>
              <w:left w:val="nil"/>
              <w:bottom w:val="single" w:sz="4" w:space="0" w:color="auto"/>
              <w:right w:val="single" w:sz="4" w:space="0" w:color="auto"/>
            </w:tcBorders>
            <w:shd w:val="clear" w:color="auto" w:fill="auto"/>
            <w:noWrap/>
            <w:vAlign w:val="center"/>
            <w:hideMark/>
          </w:tcPr>
          <w:p w14:paraId="070E7921" w14:textId="77777777" w:rsidR="005D6ECD" w:rsidRPr="005D6ECD" w:rsidRDefault="005D6ECD" w:rsidP="005D6ECD">
            <w:pPr>
              <w:spacing w:after="0"/>
              <w:jc w:val="right"/>
              <w:rPr>
                <w:rFonts w:cs="Arial"/>
                <w:color w:val="auto"/>
                <w:sz w:val="20"/>
                <w:szCs w:val="20"/>
              </w:rPr>
            </w:pPr>
            <w:r w:rsidRPr="005D6ECD">
              <w:rPr>
                <w:rFonts w:cs="Arial"/>
                <w:color w:val="auto"/>
                <w:sz w:val="20"/>
                <w:szCs w:val="20"/>
              </w:rPr>
              <w:t>0</w:t>
            </w:r>
          </w:p>
        </w:tc>
        <w:tc>
          <w:tcPr>
            <w:tcW w:w="1260" w:type="dxa"/>
            <w:tcBorders>
              <w:top w:val="nil"/>
              <w:left w:val="nil"/>
              <w:bottom w:val="single" w:sz="4" w:space="0" w:color="auto"/>
              <w:right w:val="single" w:sz="4" w:space="0" w:color="auto"/>
            </w:tcBorders>
            <w:shd w:val="clear" w:color="auto" w:fill="auto"/>
            <w:noWrap/>
            <w:vAlign w:val="center"/>
            <w:hideMark/>
          </w:tcPr>
          <w:p w14:paraId="5149A960" w14:textId="77777777" w:rsidR="005D6ECD" w:rsidRPr="005D6ECD" w:rsidRDefault="005D6ECD" w:rsidP="005D6ECD">
            <w:pPr>
              <w:spacing w:after="0"/>
              <w:jc w:val="right"/>
              <w:rPr>
                <w:rFonts w:cs="Arial"/>
                <w:color w:val="auto"/>
                <w:sz w:val="20"/>
                <w:szCs w:val="20"/>
              </w:rPr>
            </w:pPr>
            <w:r w:rsidRPr="005D6ECD">
              <w:rPr>
                <w:rFonts w:cs="Arial"/>
                <w:color w:val="auto"/>
                <w:sz w:val="20"/>
                <w:szCs w:val="20"/>
              </w:rPr>
              <w:t>-350,893</w:t>
            </w:r>
          </w:p>
        </w:tc>
        <w:tc>
          <w:tcPr>
            <w:tcW w:w="5594" w:type="dxa"/>
            <w:tcBorders>
              <w:top w:val="nil"/>
              <w:left w:val="nil"/>
              <w:bottom w:val="single" w:sz="4" w:space="0" w:color="auto"/>
              <w:right w:val="single" w:sz="4" w:space="0" w:color="auto"/>
            </w:tcBorders>
            <w:shd w:val="clear" w:color="auto" w:fill="auto"/>
            <w:vAlign w:val="center"/>
            <w:hideMark/>
          </w:tcPr>
          <w:p w14:paraId="11F39F2B" w14:textId="77777777" w:rsidR="005D6ECD" w:rsidRPr="005D6ECD" w:rsidRDefault="005D6ECD" w:rsidP="005D6ECD">
            <w:pPr>
              <w:spacing w:after="0"/>
              <w:rPr>
                <w:rFonts w:cs="Arial"/>
                <w:color w:val="auto"/>
                <w:sz w:val="20"/>
                <w:szCs w:val="20"/>
              </w:rPr>
            </w:pPr>
            <w:r w:rsidRPr="005D6ECD">
              <w:rPr>
                <w:rFonts w:cs="Arial"/>
                <w:color w:val="auto"/>
                <w:sz w:val="20"/>
                <w:szCs w:val="20"/>
              </w:rPr>
              <w:t>Re</w:t>
            </w:r>
            <w:r>
              <w:rPr>
                <w:rFonts w:cs="Arial"/>
                <w:color w:val="auto"/>
                <w:sz w:val="20"/>
                <w:szCs w:val="20"/>
              </w:rPr>
              <w:t>-</w:t>
            </w:r>
            <w:r w:rsidRPr="005D6ECD">
              <w:rPr>
                <w:rFonts w:cs="Arial"/>
                <w:color w:val="auto"/>
                <w:sz w:val="20"/>
                <w:szCs w:val="20"/>
              </w:rPr>
              <w:t>profiled to fund services at FR</w:t>
            </w:r>
          </w:p>
        </w:tc>
      </w:tr>
      <w:tr w:rsidR="005D6ECD" w:rsidRPr="005D6ECD" w14:paraId="22855CED" w14:textId="77777777" w:rsidTr="001E11DA">
        <w:trPr>
          <w:trHeight w:val="260"/>
        </w:trPr>
        <w:tc>
          <w:tcPr>
            <w:tcW w:w="4580" w:type="dxa"/>
            <w:tcBorders>
              <w:top w:val="nil"/>
              <w:left w:val="single" w:sz="4" w:space="0" w:color="auto"/>
              <w:bottom w:val="single" w:sz="4" w:space="0" w:color="auto"/>
              <w:right w:val="single" w:sz="4" w:space="0" w:color="auto"/>
            </w:tcBorders>
            <w:shd w:val="clear" w:color="auto" w:fill="auto"/>
            <w:vAlign w:val="center"/>
            <w:hideMark/>
          </w:tcPr>
          <w:p w14:paraId="61B19046" w14:textId="77777777" w:rsidR="005D6ECD" w:rsidRPr="005D6ECD" w:rsidRDefault="005D6ECD" w:rsidP="005D6ECD">
            <w:pPr>
              <w:spacing w:after="0"/>
              <w:rPr>
                <w:rFonts w:cs="Arial"/>
                <w:color w:val="auto"/>
                <w:sz w:val="20"/>
                <w:szCs w:val="20"/>
              </w:rPr>
            </w:pPr>
            <w:r w:rsidRPr="005D6ECD">
              <w:rPr>
                <w:rFonts w:cs="Arial"/>
                <w:color w:val="auto"/>
                <w:sz w:val="20"/>
                <w:szCs w:val="20"/>
              </w:rPr>
              <w:t>Rough Sleeping &amp; Street activity service</w:t>
            </w:r>
          </w:p>
        </w:tc>
        <w:tc>
          <w:tcPr>
            <w:tcW w:w="1320" w:type="dxa"/>
            <w:tcBorders>
              <w:top w:val="nil"/>
              <w:left w:val="nil"/>
              <w:bottom w:val="single" w:sz="4" w:space="0" w:color="auto"/>
              <w:right w:val="single" w:sz="4" w:space="0" w:color="auto"/>
            </w:tcBorders>
            <w:shd w:val="clear" w:color="auto" w:fill="auto"/>
            <w:noWrap/>
            <w:vAlign w:val="center"/>
            <w:hideMark/>
          </w:tcPr>
          <w:p w14:paraId="73F8B547" w14:textId="77777777" w:rsidR="005D6ECD" w:rsidRPr="005D6ECD" w:rsidRDefault="005D6ECD" w:rsidP="005D6ECD">
            <w:pPr>
              <w:spacing w:after="0"/>
              <w:jc w:val="right"/>
              <w:rPr>
                <w:rFonts w:cs="Arial"/>
                <w:color w:val="auto"/>
                <w:sz w:val="20"/>
                <w:szCs w:val="20"/>
              </w:rPr>
            </w:pPr>
            <w:r w:rsidRPr="005D6ECD">
              <w:rPr>
                <w:rFonts w:cs="Arial"/>
                <w:color w:val="auto"/>
                <w:sz w:val="20"/>
                <w:szCs w:val="20"/>
              </w:rPr>
              <w:t>30,000</w:t>
            </w:r>
          </w:p>
        </w:tc>
        <w:tc>
          <w:tcPr>
            <w:tcW w:w="1280" w:type="dxa"/>
            <w:tcBorders>
              <w:top w:val="nil"/>
              <w:left w:val="nil"/>
              <w:bottom w:val="single" w:sz="4" w:space="0" w:color="auto"/>
              <w:right w:val="single" w:sz="4" w:space="0" w:color="auto"/>
            </w:tcBorders>
            <w:shd w:val="clear" w:color="auto" w:fill="auto"/>
            <w:noWrap/>
            <w:vAlign w:val="center"/>
            <w:hideMark/>
          </w:tcPr>
          <w:p w14:paraId="274F5B8E" w14:textId="77777777" w:rsidR="005D6ECD" w:rsidRPr="005D6ECD" w:rsidRDefault="005D6ECD" w:rsidP="005D6ECD">
            <w:pPr>
              <w:spacing w:after="0"/>
              <w:jc w:val="right"/>
              <w:rPr>
                <w:rFonts w:cs="Arial"/>
                <w:color w:val="auto"/>
                <w:sz w:val="20"/>
                <w:szCs w:val="20"/>
              </w:rPr>
            </w:pPr>
            <w:r w:rsidRPr="005D6ECD">
              <w:rPr>
                <w:rFonts w:cs="Arial"/>
                <w:color w:val="auto"/>
                <w:sz w:val="20"/>
                <w:szCs w:val="20"/>
              </w:rPr>
              <w:t>30,000</w:t>
            </w:r>
          </w:p>
        </w:tc>
        <w:tc>
          <w:tcPr>
            <w:tcW w:w="1260" w:type="dxa"/>
            <w:tcBorders>
              <w:top w:val="nil"/>
              <w:left w:val="nil"/>
              <w:bottom w:val="single" w:sz="4" w:space="0" w:color="auto"/>
              <w:right w:val="single" w:sz="4" w:space="0" w:color="auto"/>
            </w:tcBorders>
            <w:shd w:val="clear" w:color="auto" w:fill="auto"/>
            <w:noWrap/>
            <w:vAlign w:val="center"/>
            <w:hideMark/>
          </w:tcPr>
          <w:p w14:paraId="2A782CAE" w14:textId="77777777" w:rsidR="005D6ECD" w:rsidRPr="005D6ECD" w:rsidRDefault="005D6ECD" w:rsidP="005D6ECD">
            <w:pPr>
              <w:spacing w:after="0"/>
              <w:jc w:val="right"/>
              <w:rPr>
                <w:rFonts w:cs="Arial"/>
                <w:color w:val="auto"/>
                <w:sz w:val="20"/>
                <w:szCs w:val="20"/>
              </w:rPr>
            </w:pPr>
            <w:r w:rsidRPr="005D6ECD">
              <w:rPr>
                <w:rFonts w:cs="Arial"/>
                <w:color w:val="auto"/>
                <w:sz w:val="20"/>
                <w:szCs w:val="20"/>
              </w:rPr>
              <w:t>0</w:t>
            </w:r>
          </w:p>
        </w:tc>
        <w:tc>
          <w:tcPr>
            <w:tcW w:w="5594" w:type="dxa"/>
            <w:tcBorders>
              <w:top w:val="nil"/>
              <w:left w:val="nil"/>
              <w:bottom w:val="single" w:sz="4" w:space="0" w:color="auto"/>
              <w:right w:val="single" w:sz="4" w:space="0" w:color="auto"/>
            </w:tcBorders>
            <w:shd w:val="clear" w:color="auto" w:fill="auto"/>
            <w:vAlign w:val="center"/>
            <w:hideMark/>
          </w:tcPr>
          <w:p w14:paraId="5F56DDBC" w14:textId="77777777" w:rsidR="005D6ECD" w:rsidRPr="005D6ECD" w:rsidRDefault="005D6ECD" w:rsidP="005D6ECD">
            <w:pPr>
              <w:spacing w:after="0"/>
              <w:rPr>
                <w:rFonts w:cs="Arial"/>
                <w:color w:val="auto"/>
                <w:sz w:val="20"/>
                <w:szCs w:val="20"/>
              </w:rPr>
            </w:pPr>
            <w:r w:rsidRPr="005D6ECD">
              <w:rPr>
                <w:rFonts w:cs="Arial"/>
                <w:color w:val="auto"/>
                <w:sz w:val="20"/>
                <w:szCs w:val="20"/>
              </w:rPr>
              <w:t> </w:t>
            </w:r>
          </w:p>
        </w:tc>
      </w:tr>
      <w:tr w:rsidR="005D6ECD" w:rsidRPr="005D6ECD" w14:paraId="56899F5C" w14:textId="77777777" w:rsidTr="001E11DA">
        <w:trPr>
          <w:trHeight w:val="260"/>
        </w:trPr>
        <w:tc>
          <w:tcPr>
            <w:tcW w:w="4580" w:type="dxa"/>
            <w:tcBorders>
              <w:top w:val="nil"/>
              <w:left w:val="single" w:sz="4" w:space="0" w:color="auto"/>
              <w:bottom w:val="single" w:sz="4" w:space="0" w:color="auto"/>
              <w:right w:val="single" w:sz="4" w:space="0" w:color="auto"/>
            </w:tcBorders>
            <w:shd w:val="clear" w:color="auto" w:fill="auto"/>
            <w:noWrap/>
            <w:vAlign w:val="center"/>
            <w:hideMark/>
          </w:tcPr>
          <w:p w14:paraId="714AAB97" w14:textId="77777777" w:rsidR="005D6ECD" w:rsidRPr="005D6ECD" w:rsidRDefault="005D6ECD" w:rsidP="005D6ECD">
            <w:pPr>
              <w:spacing w:after="0"/>
              <w:rPr>
                <w:rFonts w:cs="Arial"/>
                <w:color w:val="auto"/>
                <w:sz w:val="20"/>
                <w:szCs w:val="20"/>
              </w:rPr>
            </w:pPr>
            <w:r w:rsidRPr="005D6ECD">
              <w:rPr>
                <w:rFonts w:cs="Arial"/>
                <w:color w:val="auto"/>
                <w:sz w:val="20"/>
                <w:szCs w:val="20"/>
              </w:rPr>
              <w:t>City Centre Ambassadors</w:t>
            </w:r>
          </w:p>
        </w:tc>
        <w:tc>
          <w:tcPr>
            <w:tcW w:w="1320" w:type="dxa"/>
            <w:tcBorders>
              <w:top w:val="nil"/>
              <w:left w:val="nil"/>
              <w:bottom w:val="single" w:sz="4" w:space="0" w:color="auto"/>
              <w:right w:val="single" w:sz="4" w:space="0" w:color="auto"/>
            </w:tcBorders>
            <w:shd w:val="clear" w:color="auto" w:fill="auto"/>
            <w:noWrap/>
            <w:vAlign w:val="center"/>
            <w:hideMark/>
          </w:tcPr>
          <w:p w14:paraId="58A5A23C" w14:textId="77777777" w:rsidR="005D6ECD" w:rsidRPr="005D6ECD" w:rsidRDefault="005D6ECD" w:rsidP="005D6ECD">
            <w:pPr>
              <w:spacing w:after="0"/>
              <w:jc w:val="right"/>
              <w:rPr>
                <w:rFonts w:cs="Arial"/>
                <w:color w:val="auto"/>
                <w:sz w:val="20"/>
                <w:szCs w:val="20"/>
              </w:rPr>
            </w:pPr>
            <w:r w:rsidRPr="005D6ECD">
              <w:rPr>
                <w:rFonts w:cs="Arial"/>
                <w:color w:val="auto"/>
                <w:sz w:val="20"/>
                <w:szCs w:val="20"/>
              </w:rPr>
              <w:t>17,500</w:t>
            </w:r>
          </w:p>
        </w:tc>
        <w:tc>
          <w:tcPr>
            <w:tcW w:w="1280" w:type="dxa"/>
            <w:tcBorders>
              <w:top w:val="nil"/>
              <w:left w:val="nil"/>
              <w:bottom w:val="single" w:sz="4" w:space="0" w:color="auto"/>
              <w:right w:val="single" w:sz="4" w:space="0" w:color="auto"/>
            </w:tcBorders>
            <w:shd w:val="clear" w:color="auto" w:fill="auto"/>
            <w:noWrap/>
            <w:vAlign w:val="center"/>
            <w:hideMark/>
          </w:tcPr>
          <w:p w14:paraId="654DC4AA" w14:textId="77777777" w:rsidR="005D6ECD" w:rsidRPr="005D6ECD" w:rsidRDefault="005D6ECD" w:rsidP="005D6ECD">
            <w:pPr>
              <w:spacing w:after="0"/>
              <w:jc w:val="right"/>
              <w:rPr>
                <w:rFonts w:cs="Arial"/>
                <w:color w:val="auto"/>
                <w:sz w:val="20"/>
                <w:szCs w:val="20"/>
              </w:rPr>
            </w:pPr>
            <w:r w:rsidRPr="005D6ECD">
              <w:rPr>
                <w:rFonts w:cs="Arial"/>
                <w:color w:val="auto"/>
                <w:sz w:val="20"/>
                <w:szCs w:val="20"/>
              </w:rPr>
              <w:t>17,500</w:t>
            </w:r>
          </w:p>
        </w:tc>
        <w:tc>
          <w:tcPr>
            <w:tcW w:w="1260" w:type="dxa"/>
            <w:tcBorders>
              <w:top w:val="nil"/>
              <w:left w:val="nil"/>
              <w:bottom w:val="single" w:sz="4" w:space="0" w:color="auto"/>
              <w:right w:val="single" w:sz="4" w:space="0" w:color="auto"/>
            </w:tcBorders>
            <w:shd w:val="clear" w:color="auto" w:fill="auto"/>
            <w:noWrap/>
            <w:vAlign w:val="center"/>
            <w:hideMark/>
          </w:tcPr>
          <w:p w14:paraId="737EAB09" w14:textId="77777777" w:rsidR="005D6ECD" w:rsidRPr="005D6ECD" w:rsidRDefault="005D6ECD" w:rsidP="005D6ECD">
            <w:pPr>
              <w:spacing w:after="0"/>
              <w:jc w:val="right"/>
              <w:rPr>
                <w:rFonts w:cs="Arial"/>
                <w:color w:val="auto"/>
                <w:sz w:val="20"/>
                <w:szCs w:val="20"/>
              </w:rPr>
            </w:pPr>
            <w:r w:rsidRPr="005D6ECD">
              <w:rPr>
                <w:rFonts w:cs="Arial"/>
                <w:color w:val="auto"/>
                <w:sz w:val="20"/>
                <w:szCs w:val="20"/>
              </w:rPr>
              <w:t>0</w:t>
            </w:r>
          </w:p>
        </w:tc>
        <w:tc>
          <w:tcPr>
            <w:tcW w:w="5594" w:type="dxa"/>
            <w:tcBorders>
              <w:top w:val="nil"/>
              <w:left w:val="nil"/>
              <w:bottom w:val="single" w:sz="4" w:space="0" w:color="auto"/>
              <w:right w:val="single" w:sz="4" w:space="0" w:color="auto"/>
            </w:tcBorders>
            <w:shd w:val="clear" w:color="auto" w:fill="auto"/>
            <w:noWrap/>
            <w:vAlign w:val="center"/>
            <w:hideMark/>
          </w:tcPr>
          <w:p w14:paraId="5D746D15" w14:textId="77777777" w:rsidR="005D6ECD" w:rsidRPr="005D6ECD" w:rsidRDefault="005D6ECD" w:rsidP="005D6ECD">
            <w:pPr>
              <w:spacing w:after="0"/>
              <w:rPr>
                <w:rFonts w:cs="Arial"/>
                <w:color w:val="auto"/>
                <w:sz w:val="20"/>
                <w:szCs w:val="20"/>
              </w:rPr>
            </w:pPr>
            <w:r w:rsidRPr="005D6ECD">
              <w:rPr>
                <w:rFonts w:cs="Arial"/>
                <w:color w:val="auto"/>
                <w:sz w:val="20"/>
                <w:szCs w:val="20"/>
              </w:rPr>
              <w:t> </w:t>
            </w:r>
          </w:p>
        </w:tc>
      </w:tr>
      <w:tr w:rsidR="005D6ECD" w:rsidRPr="005D6ECD" w14:paraId="003DD8C0" w14:textId="77777777" w:rsidTr="001E11DA">
        <w:trPr>
          <w:trHeight w:val="260"/>
        </w:trPr>
        <w:tc>
          <w:tcPr>
            <w:tcW w:w="4580" w:type="dxa"/>
            <w:tcBorders>
              <w:top w:val="nil"/>
              <w:left w:val="single" w:sz="4" w:space="0" w:color="auto"/>
              <w:bottom w:val="single" w:sz="4" w:space="0" w:color="auto"/>
              <w:right w:val="single" w:sz="4" w:space="0" w:color="auto"/>
            </w:tcBorders>
            <w:shd w:val="clear" w:color="000000" w:fill="FFFF00"/>
            <w:vAlign w:val="center"/>
            <w:hideMark/>
          </w:tcPr>
          <w:p w14:paraId="78B3795D" w14:textId="77777777" w:rsidR="005D6ECD" w:rsidRPr="005D6ECD" w:rsidRDefault="005D6ECD" w:rsidP="005D6ECD">
            <w:pPr>
              <w:spacing w:after="0"/>
              <w:jc w:val="center"/>
              <w:rPr>
                <w:rFonts w:cs="Arial"/>
                <w:b/>
                <w:bCs/>
                <w:color w:val="auto"/>
                <w:sz w:val="20"/>
                <w:szCs w:val="20"/>
              </w:rPr>
            </w:pPr>
            <w:r w:rsidRPr="005D6ECD">
              <w:rPr>
                <w:rFonts w:cs="Arial"/>
                <w:b/>
                <w:bCs/>
                <w:color w:val="auto"/>
                <w:sz w:val="20"/>
                <w:szCs w:val="20"/>
              </w:rPr>
              <w:t>Supported accommodation</w:t>
            </w:r>
          </w:p>
        </w:tc>
        <w:tc>
          <w:tcPr>
            <w:tcW w:w="1320" w:type="dxa"/>
            <w:tcBorders>
              <w:top w:val="nil"/>
              <w:left w:val="nil"/>
              <w:bottom w:val="single" w:sz="4" w:space="0" w:color="auto"/>
              <w:right w:val="single" w:sz="4" w:space="0" w:color="auto"/>
            </w:tcBorders>
            <w:shd w:val="clear" w:color="000000" w:fill="FFFF00"/>
            <w:noWrap/>
            <w:vAlign w:val="center"/>
            <w:hideMark/>
          </w:tcPr>
          <w:p w14:paraId="1843E909" w14:textId="77777777" w:rsidR="005D6ECD" w:rsidRPr="005D6ECD" w:rsidRDefault="005D6ECD" w:rsidP="005D6ECD">
            <w:pPr>
              <w:spacing w:after="0"/>
              <w:jc w:val="right"/>
              <w:rPr>
                <w:rFonts w:cs="Arial"/>
                <w:b/>
                <w:bCs/>
                <w:color w:val="auto"/>
                <w:sz w:val="20"/>
                <w:szCs w:val="20"/>
              </w:rPr>
            </w:pPr>
            <w:r w:rsidRPr="005D6ECD">
              <w:rPr>
                <w:rFonts w:cs="Arial"/>
                <w:b/>
                <w:bCs/>
                <w:color w:val="auto"/>
                <w:sz w:val="20"/>
                <w:szCs w:val="20"/>
              </w:rPr>
              <w:t>810,075</w:t>
            </w:r>
          </w:p>
        </w:tc>
        <w:tc>
          <w:tcPr>
            <w:tcW w:w="1280" w:type="dxa"/>
            <w:tcBorders>
              <w:top w:val="nil"/>
              <w:left w:val="nil"/>
              <w:bottom w:val="single" w:sz="4" w:space="0" w:color="auto"/>
              <w:right w:val="single" w:sz="4" w:space="0" w:color="auto"/>
            </w:tcBorders>
            <w:shd w:val="clear" w:color="000000" w:fill="FFFF00"/>
            <w:noWrap/>
            <w:vAlign w:val="center"/>
            <w:hideMark/>
          </w:tcPr>
          <w:p w14:paraId="004FC8AD" w14:textId="77777777" w:rsidR="005D6ECD" w:rsidRPr="005D6ECD" w:rsidRDefault="005D6ECD" w:rsidP="005D6ECD">
            <w:pPr>
              <w:spacing w:after="0"/>
              <w:jc w:val="right"/>
              <w:rPr>
                <w:rFonts w:cs="Arial"/>
                <w:b/>
                <w:bCs/>
                <w:color w:val="auto"/>
                <w:sz w:val="20"/>
                <w:szCs w:val="20"/>
              </w:rPr>
            </w:pPr>
            <w:r w:rsidRPr="005D6ECD">
              <w:rPr>
                <w:rFonts w:cs="Arial"/>
                <w:b/>
                <w:bCs/>
                <w:color w:val="auto"/>
                <w:sz w:val="20"/>
                <w:szCs w:val="20"/>
              </w:rPr>
              <w:t>806,852</w:t>
            </w:r>
          </w:p>
        </w:tc>
        <w:tc>
          <w:tcPr>
            <w:tcW w:w="1260" w:type="dxa"/>
            <w:tcBorders>
              <w:top w:val="nil"/>
              <w:left w:val="nil"/>
              <w:bottom w:val="single" w:sz="4" w:space="0" w:color="auto"/>
              <w:right w:val="single" w:sz="4" w:space="0" w:color="auto"/>
            </w:tcBorders>
            <w:shd w:val="clear" w:color="000000" w:fill="FFFF00"/>
            <w:noWrap/>
            <w:vAlign w:val="center"/>
            <w:hideMark/>
          </w:tcPr>
          <w:p w14:paraId="0FD2567D" w14:textId="77777777" w:rsidR="005D6ECD" w:rsidRPr="005D6ECD" w:rsidRDefault="005D6ECD" w:rsidP="005D6ECD">
            <w:pPr>
              <w:spacing w:after="0"/>
              <w:jc w:val="right"/>
              <w:rPr>
                <w:rFonts w:cs="Arial"/>
                <w:b/>
                <w:bCs/>
                <w:color w:val="auto"/>
                <w:sz w:val="20"/>
                <w:szCs w:val="20"/>
              </w:rPr>
            </w:pPr>
            <w:r w:rsidRPr="005D6ECD">
              <w:rPr>
                <w:rFonts w:cs="Arial"/>
                <w:b/>
                <w:bCs/>
                <w:color w:val="auto"/>
                <w:sz w:val="20"/>
                <w:szCs w:val="20"/>
              </w:rPr>
              <w:t>-3,223</w:t>
            </w:r>
          </w:p>
        </w:tc>
        <w:tc>
          <w:tcPr>
            <w:tcW w:w="5594" w:type="dxa"/>
            <w:tcBorders>
              <w:top w:val="nil"/>
              <w:left w:val="nil"/>
              <w:bottom w:val="single" w:sz="4" w:space="0" w:color="auto"/>
              <w:right w:val="single" w:sz="4" w:space="0" w:color="auto"/>
            </w:tcBorders>
            <w:shd w:val="clear" w:color="000000" w:fill="FFFF00"/>
            <w:vAlign w:val="center"/>
            <w:hideMark/>
          </w:tcPr>
          <w:p w14:paraId="134CB163" w14:textId="77777777" w:rsidR="005D6ECD" w:rsidRPr="005D6ECD" w:rsidRDefault="005D6ECD" w:rsidP="005D6ECD">
            <w:pPr>
              <w:spacing w:after="0"/>
              <w:jc w:val="center"/>
              <w:rPr>
                <w:rFonts w:cs="Arial"/>
                <w:color w:val="auto"/>
                <w:sz w:val="20"/>
                <w:szCs w:val="20"/>
              </w:rPr>
            </w:pPr>
            <w:r w:rsidRPr="005D6ECD">
              <w:rPr>
                <w:rFonts w:cs="Arial"/>
                <w:color w:val="auto"/>
                <w:sz w:val="20"/>
                <w:szCs w:val="20"/>
              </w:rPr>
              <w:t> </w:t>
            </w:r>
          </w:p>
        </w:tc>
      </w:tr>
      <w:tr w:rsidR="005D6ECD" w:rsidRPr="005D6ECD" w14:paraId="479DF8E2" w14:textId="77777777" w:rsidTr="001E11DA">
        <w:trPr>
          <w:trHeight w:val="260"/>
        </w:trPr>
        <w:tc>
          <w:tcPr>
            <w:tcW w:w="4580" w:type="dxa"/>
            <w:tcBorders>
              <w:top w:val="nil"/>
              <w:left w:val="single" w:sz="4" w:space="0" w:color="auto"/>
              <w:bottom w:val="single" w:sz="4" w:space="0" w:color="auto"/>
              <w:right w:val="single" w:sz="4" w:space="0" w:color="auto"/>
            </w:tcBorders>
            <w:shd w:val="clear" w:color="auto" w:fill="auto"/>
            <w:noWrap/>
            <w:vAlign w:val="center"/>
            <w:hideMark/>
          </w:tcPr>
          <w:p w14:paraId="5FB0E2BF" w14:textId="77777777" w:rsidR="005D6ECD" w:rsidRPr="005D6ECD" w:rsidRDefault="005D6ECD" w:rsidP="005D6ECD">
            <w:pPr>
              <w:spacing w:after="0"/>
              <w:rPr>
                <w:rFonts w:cs="Arial"/>
                <w:color w:val="auto"/>
                <w:sz w:val="20"/>
                <w:szCs w:val="20"/>
              </w:rPr>
            </w:pPr>
            <w:r w:rsidRPr="005D6ECD">
              <w:rPr>
                <w:rFonts w:cs="Arial"/>
                <w:color w:val="auto"/>
                <w:sz w:val="20"/>
                <w:szCs w:val="20"/>
              </w:rPr>
              <w:t>Contribution Oxfordshire AHP Pooled Budget</w:t>
            </w:r>
          </w:p>
        </w:tc>
        <w:tc>
          <w:tcPr>
            <w:tcW w:w="1320" w:type="dxa"/>
            <w:tcBorders>
              <w:top w:val="nil"/>
              <w:left w:val="nil"/>
              <w:bottom w:val="single" w:sz="4" w:space="0" w:color="auto"/>
              <w:right w:val="single" w:sz="4" w:space="0" w:color="auto"/>
            </w:tcBorders>
            <w:shd w:val="clear" w:color="auto" w:fill="auto"/>
            <w:noWrap/>
            <w:vAlign w:val="center"/>
            <w:hideMark/>
          </w:tcPr>
          <w:p w14:paraId="1FF790BD" w14:textId="77777777" w:rsidR="005D6ECD" w:rsidRPr="005D6ECD" w:rsidRDefault="005D6ECD" w:rsidP="005D6ECD">
            <w:pPr>
              <w:spacing w:after="0"/>
              <w:jc w:val="right"/>
              <w:rPr>
                <w:rFonts w:cs="Arial"/>
                <w:color w:val="auto"/>
                <w:sz w:val="20"/>
                <w:szCs w:val="20"/>
              </w:rPr>
            </w:pPr>
            <w:r w:rsidRPr="005D6ECD">
              <w:rPr>
                <w:rFonts w:cs="Arial"/>
                <w:color w:val="auto"/>
                <w:sz w:val="20"/>
                <w:szCs w:val="20"/>
              </w:rPr>
              <w:t>161,700</w:t>
            </w:r>
          </w:p>
        </w:tc>
        <w:tc>
          <w:tcPr>
            <w:tcW w:w="1280" w:type="dxa"/>
            <w:tcBorders>
              <w:top w:val="nil"/>
              <w:left w:val="nil"/>
              <w:bottom w:val="single" w:sz="4" w:space="0" w:color="auto"/>
              <w:right w:val="single" w:sz="4" w:space="0" w:color="auto"/>
            </w:tcBorders>
            <w:shd w:val="clear" w:color="auto" w:fill="auto"/>
            <w:noWrap/>
            <w:vAlign w:val="center"/>
            <w:hideMark/>
          </w:tcPr>
          <w:p w14:paraId="77786472" w14:textId="77777777" w:rsidR="005D6ECD" w:rsidRPr="005D6ECD" w:rsidRDefault="005D6ECD" w:rsidP="005D6ECD">
            <w:pPr>
              <w:spacing w:after="0"/>
              <w:jc w:val="right"/>
              <w:rPr>
                <w:rFonts w:cs="Arial"/>
                <w:color w:val="auto"/>
                <w:sz w:val="20"/>
                <w:szCs w:val="20"/>
              </w:rPr>
            </w:pPr>
            <w:r w:rsidRPr="005D6ECD">
              <w:rPr>
                <w:rFonts w:cs="Arial"/>
                <w:color w:val="auto"/>
                <w:sz w:val="20"/>
                <w:szCs w:val="20"/>
              </w:rPr>
              <w:t>219,030</w:t>
            </w:r>
          </w:p>
        </w:tc>
        <w:tc>
          <w:tcPr>
            <w:tcW w:w="1260" w:type="dxa"/>
            <w:tcBorders>
              <w:top w:val="nil"/>
              <w:left w:val="nil"/>
              <w:bottom w:val="single" w:sz="4" w:space="0" w:color="auto"/>
              <w:right w:val="single" w:sz="4" w:space="0" w:color="auto"/>
            </w:tcBorders>
            <w:shd w:val="clear" w:color="auto" w:fill="auto"/>
            <w:noWrap/>
            <w:vAlign w:val="center"/>
            <w:hideMark/>
          </w:tcPr>
          <w:p w14:paraId="60B255AF" w14:textId="77777777" w:rsidR="005D6ECD" w:rsidRPr="005D6ECD" w:rsidRDefault="005D6ECD" w:rsidP="005D6ECD">
            <w:pPr>
              <w:spacing w:after="0"/>
              <w:jc w:val="right"/>
              <w:rPr>
                <w:rFonts w:cs="Arial"/>
                <w:color w:val="auto"/>
                <w:sz w:val="20"/>
                <w:szCs w:val="20"/>
              </w:rPr>
            </w:pPr>
            <w:r w:rsidRPr="005D6ECD">
              <w:rPr>
                <w:rFonts w:cs="Arial"/>
                <w:color w:val="auto"/>
                <w:sz w:val="20"/>
                <w:szCs w:val="20"/>
              </w:rPr>
              <w:t>57,330</w:t>
            </w:r>
          </w:p>
        </w:tc>
        <w:tc>
          <w:tcPr>
            <w:tcW w:w="5594" w:type="dxa"/>
            <w:tcBorders>
              <w:top w:val="nil"/>
              <w:left w:val="nil"/>
              <w:bottom w:val="single" w:sz="4" w:space="0" w:color="auto"/>
              <w:right w:val="single" w:sz="4" w:space="0" w:color="auto"/>
            </w:tcBorders>
            <w:shd w:val="clear" w:color="auto" w:fill="auto"/>
            <w:vAlign w:val="center"/>
            <w:hideMark/>
          </w:tcPr>
          <w:p w14:paraId="348E068C" w14:textId="77777777" w:rsidR="005D6ECD" w:rsidRPr="005D6ECD" w:rsidRDefault="005D6ECD" w:rsidP="005D6ECD">
            <w:pPr>
              <w:spacing w:after="0"/>
              <w:rPr>
                <w:rFonts w:cs="Arial"/>
                <w:color w:val="auto"/>
                <w:sz w:val="20"/>
                <w:szCs w:val="20"/>
              </w:rPr>
            </w:pPr>
            <w:r w:rsidRPr="005D6ECD">
              <w:rPr>
                <w:rFonts w:cs="Arial"/>
                <w:color w:val="auto"/>
                <w:sz w:val="20"/>
                <w:szCs w:val="20"/>
              </w:rPr>
              <w:t>Increased OCC contribution to HRS Pooled Budget</w:t>
            </w:r>
          </w:p>
        </w:tc>
      </w:tr>
      <w:tr w:rsidR="005D6ECD" w:rsidRPr="005D6ECD" w14:paraId="1BD3677F" w14:textId="77777777" w:rsidTr="001E11DA">
        <w:trPr>
          <w:trHeight w:val="260"/>
        </w:trPr>
        <w:tc>
          <w:tcPr>
            <w:tcW w:w="4580" w:type="dxa"/>
            <w:tcBorders>
              <w:top w:val="nil"/>
              <w:left w:val="single" w:sz="4" w:space="0" w:color="auto"/>
              <w:bottom w:val="single" w:sz="4" w:space="0" w:color="auto"/>
              <w:right w:val="single" w:sz="4" w:space="0" w:color="auto"/>
            </w:tcBorders>
            <w:shd w:val="clear" w:color="auto" w:fill="auto"/>
            <w:vAlign w:val="center"/>
            <w:hideMark/>
          </w:tcPr>
          <w:p w14:paraId="1261CFA5" w14:textId="77777777" w:rsidR="005D6ECD" w:rsidRPr="005D6ECD" w:rsidRDefault="005D6ECD" w:rsidP="005D6ECD">
            <w:pPr>
              <w:spacing w:after="0"/>
              <w:rPr>
                <w:rFonts w:cs="Arial"/>
                <w:color w:val="auto"/>
                <w:sz w:val="20"/>
                <w:szCs w:val="20"/>
              </w:rPr>
            </w:pPr>
            <w:r w:rsidRPr="005D6ECD">
              <w:rPr>
                <w:rFonts w:cs="Arial"/>
                <w:color w:val="auto"/>
                <w:sz w:val="20"/>
                <w:szCs w:val="20"/>
              </w:rPr>
              <w:t>NSNO Sit-up Service - O'Hanlon House</w:t>
            </w:r>
          </w:p>
        </w:tc>
        <w:tc>
          <w:tcPr>
            <w:tcW w:w="1320" w:type="dxa"/>
            <w:tcBorders>
              <w:top w:val="nil"/>
              <w:left w:val="nil"/>
              <w:bottom w:val="single" w:sz="4" w:space="0" w:color="auto"/>
              <w:right w:val="single" w:sz="4" w:space="0" w:color="auto"/>
            </w:tcBorders>
            <w:shd w:val="clear" w:color="auto" w:fill="auto"/>
            <w:noWrap/>
            <w:vAlign w:val="center"/>
            <w:hideMark/>
          </w:tcPr>
          <w:p w14:paraId="4D67A2BD" w14:textId="77777777" w:rsidR="005D6ECD" w:rsidRPr="005D6ECD" w:rsidRDefault="005D6ECD" w:rsidP="005D6ECD">
            <w:pPr>
              <w:spacing w:after="0"/>
              <w:jc w:val="right"/>
              <w:rPr>
                <w:rFonts w:cs="Arial"/>
                <w:color w:val="auto"/>
                <w:sz w:val="20"/>
                <w:szCs w:val="20"/>
              </w:rPr>
            </w:pPr>
            <w:r w:rsidRPr="005D6ECD">
              <w:rPr>
                <w:rFonts w:cs="Arial"/>
                <w:color w:val="auto"/>
                <w:sz w:val="20"/>
                <w:szCs w:val="20"/>
              </w:rPr>
              <w:t>54,903</w:t>
            </w:r>
          </w:p>
        </w:tc>
        <w:tc>
          <w:tcPr>
            <w:tcW w:w="1280" w:type="dxa"/>
            <w:tcBorders>
              <w:top w:val="nil"/>
              <w:left w:val="nil"/>
              <w:bottom w:val="single" w:sz="4" w:space="0" w:color="auto"/>
              <w:right w:val="single" w:sz="4" w:space="0" w:color="auto"/>
            </w:tcBorders>
            <w:shd w:val="clear" w:color="auto" w:fill="auto"/>
            <w:noWrap/>
            <w:vAlign w:val="center"/>
            <w:hideMark/>
          </w:tcPr>
          <w:p w14:paraId="1BDB1689" w14:textId="77777777" w:rsidR="005D6ECD" w:rsidRPr="005D6ECD" w:rsidRDefault="005D6ECD" w:rsidP="005D6ECD">
            <w:pPr>
              <w:spacing w:after="0"/>
              <w:jc w:val="right"/>
              <w:rPr>
                <w:rFonts w:cs="Arial"/>
                <w:color w:val="auto"/>
                <w:sz w:val="20"/>
                <w:szCs w:val="20"/>
              </w:rPr>
            </w:pPr>
            <w:r w:rsidRPr="005D6ECD">
              <w:rPr>
                <w:rFonts w:cs="Arial"/>
                <w:color w:val="auto"/>
                <w:sz w:val="20"/>
                <w:szCs w:val="20"/>
              </w:rPr>
              <w:t>0</w:t>
            </w:r>
          </w:p>
        </w:tc>
        <w:tc>
          <w:tcPr>
            <w:tcW w:w="1260" w:type="dxa"/>
            <w:tcBorders>
              <w:top w:val="nil"/>
              <w:left w:val="nil"/>
              <w:bottom w:val="single" w:sz="4" w:space="0" w:color="auto"/>
              <w:right w:val="single" w:sz="4" w:space="0" w:color="auto"/>
            </w:tcBorders>
            <w:shd w:val="clear" w:color="auto" w:fill="auto"/>
            <w:noWrap/>
            <w:vAlign w:val="center"/>
            <w:hideMark/>
          </w:tcPr>
          <w:p w14:paraId="3EFC527F" w14:textId="77777777" w:rsidR="005D6ECD" w:rsidRPr="005D6ECD" w:rsidRDefault="005D6ECD" w:rsidP="005D6ECD">
            <w:pPr>
              <w:spacing w:after="0"/>
              <w:jc w:val="right"/>
              <w:rPr>
                <w:rFonts w:cs="Arial"/>
                <w:color w:val="auto"/>
                <w:sz w:val="20"/>
                <w:szCs w:val="20"/>
              </w:rPr>
            </w:pPr>
            <w:r w:rsidRPr="005D6ECD">
              <w:rPr>
                <w:rFonts w:cs="Arial"/>
                <w:color w:val="auto"/>
                <w:sz w:val="20"/>
                <w:szCs w:val="20"/>
              </w:rPr>
              <w:t>-54,903</w:t>
            </w:r>
          </w:p>
        </w:tc>
        <w:tc>
          <w:tcPr>
            <w:tcW w:w="5594" w:type="dxa"/>
            <w:tcBorders>
              <w:top w:val="nil"/>
              <w:left w:val="nil"/>
              <w:bottom w:val="single" w:sz="4" w:space="0" w:color="auto"/>
              <w:right w:val="single" w:sz="4" w:space="0" w:color="auto"/>
            </w:tcBorders>
            <w:shd w:val="clear" w:color="auto" w:fill="auto"/>
            <w:vAlign w:val="center"/>
            <w:hideMark/>
          </w:tcPr>
          <w:p w14:paraId="70F5ABF9" w14:textId="77777777" w:rsidR="005D6ECD" w:rsidRPr="005D6ECD" w:rsidRDefault="005D6ECD" w:rsidP="005D6ECD">
            <w:pPr>
              <w:spacing w:after="0"/>
              <w:rPr>
                <w:rFonts w:cs="Arial"/>
                <w:color w:val="auto"/>
                <w:sz w:val="20"/>
                <w:szCs w:val="20"/>
              </w:rPr>
            </w:pPr>
            <w:r w:rsidRPr="005D6ECD">
              <w:rPr>
                <w:rFonts w:cs="Arial"/>
                <w:color w:val="auto"/>
                <w:sz w:val="20"/>
                <w:szCs w:val="20"/>
              </w:rPr>
              <w:t>Re</w:t>
            </w:r>
            <w:r>
              <w:rPr>
                <w:rFonts w:cs="Arial"/>
                <w:color w:val="auto"/>
                <w:sz w:val="20"/>
                <w:szCs w:val="20"/>
              </w:rPr>
              <w:t>-</w:t>
            </w:r>
            <w:r w:rsidRPr="005D6ECD">
              <w:rPr>
                <w:rFonts w:cs="Arial"/>
                <w:color w:val="auto"/>
                <w:sz w:val="20"/>
                <w:szCs w:val="20"/>
              </w:rPr>
              <w:t>profiled to fund services at FR</w:t>
            </w:r>
          </w:p>
        </w:tc>
      </w:tr>
      <w:tr w:rsidR="005D6ECD" w:rsidRPr="005D6ECD" w14:paraId="743F3E7C" w14:textId="77777777" w:rsidTr="001E11DA">
        <w:trPr>
          <w:trHeight w:val="260"/>
        </w:trPr>
        <w:tc>
          <w:tcPr>
            <w:tcW w:w="4580" w:type="dxa"/>
            <w:tcBorders>
              <w:top w:val="nil"/>
              <w:left w:val="single" w:sz="4" w:space="0" w:color="auto"/>
              <w:bottom w:val="single" w:sz="4" w:space="0" w:color="auto"/>
              <w:right w:val="single" w:sz="4" w:space="0" w:color="auto"/>
            </w:tcBorders>
            <w:shd w:val="clear" w:color="auto" w:fill="auto"/>
            <w:vAlign w:val="center"/>
            <w:hideMark/>
          </w:tcPr>
          <w:p w14:paraId="18362651" w14:textId="77777777" w:rsidR="005D6ECD" w:rsidRPr="005D6ECD" w:rsidRDefault="005D6ECD" w:rsidP="005D6ECD">
            <w:pPr>
              <w:spacing w:after="0"/>
              <w:rPr>
                <w:rFonts w:cs="Arial"/>
                <w:color w:val="auto"/>
                <w:sz w:val="20"/>
                <w:szCs w:val="20"/>
              </w:rPr>
            </w:pPr>
            <w:r w:rsidRPr="005D6ECD">
              <w:rPr>
                <w:rFonts w:cs="Arial"/>
                <w:color w:val="auto"/>
                <w:sz w:val="20"/>
                <w:szCs w:val="20"/>
              </w:rPr>
              <w:t>Acacia / Housing First</w:t>
            </w:r>
          </w:p>
        </w:tc>
        <w:tc>
          <w:tcPr>
            <w:tcW w:w="1320" w:type="dxa"/>
            <w:tcBorders>
              <w:top w:val="nil"/>
              <w:left w:val="nil"/>
              <w:bottom w:val="single" w:sz="4" w:space="0" w:color="auto"/>
              <w:right w:val="single" w:sz="4" w:space="0" w:color="auto"/>
            </w:tcBorders>
            <w:shd w:val="clear" w:color="auto" w:fill="auto"/>
            <w:noWrap/>
            <w:vAlign w:val="center"/>
            <w:hideMark/>
          </w:tcPr>
          <w:p w14:paraId="7068A739" w14:textId="77777777" w:rsidR="005D6ECD" w:rsidRPr="005D6ECD" w:rsidRDefault="005D6ECD" w:rsidP="005D6ECD">
            <w:pPr>
              <w:spacing w:after="0"/>
              <w:jc w:val="right"/>
              <w:rPr>
                <w:rFonts w:cs="Arial"/>
                <w:color w:val="auto"/>
                <w:sz w:val="20"/>
                <w:szCs w:val="20"/>
              </w:rPr>
            </w:pPr>
            <w:r w:rsidRPr="005D6ECD">
              <w:rPr>
                <w:rFonts w:cs="Arial"/>
                <w:color w:val="auto"/>
                <w:sz w:val="20"/>
                <w:szCs w:val="20"/>
              </w:rPr>
              <w:t>155,450</w:t>
            </w:r>
          </w:p>
        </w:tc>
        <w:tc>
          <w:tcPr>
            <w:tcW w:w="1280" w:type="dxa"/>
            <w:tcBorders>
              <w:top w:val="nil"/>
              <w:left w:val="nil"/>
              <w:bottom w:val="single" w:sz="4" w:space="0" w:color="auto"/>
              <w:right w:val="single" w:sz="4" w:space="0" w:color="auto"/>
            </w:tcBorders>
            <w:shd w:val="clear" w:color="auto" w:fill="auto"/>
            <w:noWrap/>
            <w:vAlign w:val="center"/>
            <w:hideMark/>
          </w:tcPr>
          <w:p w14:paraId="79E41F94" w14:textId="77777777" w:rsidR="005D6ECD" w:rsidRPr="005D6ECD" w:rsidRDefault="005D6ECD" w:rsidP="005D6ECD">
            <w:pPr>
              <w:spacing w:after="0"/>
              <w:jc w:val="right"/>
              <w:rPr>
                <w:rFonts w:cs="Arial"/>
                <w:color w:val="auto"/>
                <w:sz w:val="20"/>
                <w:szCs w:val="20"/>
              </w:rPr>
            </w:pPr>
            <w:r w:rsidRPr="005D6ECD">
              <w:rPr>
                <w:rFonts w:cs="Arial"/>
                <w:color w:val="auto"/>
                <w:sz w:val="20"/>
                <w:szCs w:val="20"/>
              </w:rPr>
              <w:t>143,550</w:t>
            </w:r>
          </w:p>
        </w:tc>
        <w:tc>
          <w:tcPr>
            <w:tcW w:w="1260" w:type="dxa"/>
            <w:tcBorders>
              <w:top w:val="nil"/>
              <w:left w:val="nil"/>
              <w:bottom w:val="single" w:sz="4" w:space="0" w:color="auto"/>
              <w:right w:val="single" w:sz="4" w:space="0" w:color="auto"/>
            </w:tcBorders>
            <w:shd w:val="clear" w:color="auto" w:fill="auto"/>
            <w:noWrap/>
            <w:vAlign w:val="center"/>
            <w:hideMark/>
          </w:tcPr>
          <w:p w14:paraId="3F9C63EE" w14:textId="77777777" w:rsidR="005D6ECD" w:rsidRPr="005D6ECD" w:rsidRDefault="005D6ECD" w:rsidP="005D6ECD">
            <w:pPr>
              <w:spacing w:after="0"/>
              <w:jc w:val="right"/>
              <w:rPr>
                <w:rFonts w:cs="Arial"/>
                <w:color w:val="auto"/>
                <w:sz w:val="20"/>
                <w:szCs w:val="20"/>
              </w:rPr>
            </w:pPr>
            <w:r w:rsidRPr="005D6ECD">
              <w:rPr>
                <w:rFonts w:cs="Arial"/>
                <w:color w:val="auto"/>
                <w:sz w:val="20"/>
                <w:szCs w:val="20"/>
              </w:rPr>
              <w:t>-11,900</w:t>
            </w:r>
          </w:p>
        </w:tc>
        <w:tc>
          <w:tcPr>
            <w:tcW w:w="5594" w:type="dxa"/>
            <w:tcBorders>
              <w:top w:val="nil"/>
              <w:left w:val="nil"/>
              <w:bottom w:val="single" w:sz="4" w:space="0" w:color="auto"/>
              <w:right w:val="single" w:sz="4" w:space="0" w:color="auto"/>
            </w:tcBorders>
            <w:shd w:val="clear" w:color="auto" w:fill="auto"/>
            <w:noWrap/>
            <w:vAlign w:val="center"/>
            <w:hideMark/>
          </w:tcPr>
          <w:p w14:paraId="6DB28257" w14:textId="77777777" w:rsidR="005D6ECD" w:rsidRPr="005D6ECD" w:rsidRDefault="005D6ECD" w:rsidP="005D6ECD">
            <w:pPr>
              <w:spacing w:after="0"/>
              <w:rPr>
                <w:rFonts w:cs="Arial"/>
                <w:color w:val="auto"/>
                <w:sz w:val="20"/>
                <w:szCs w:val="20"/>
              </w:rPr>
            </w:pPr>
            <w:r w:rsidRPr="005D6ECD">
              <w:rPr>
                <w:rFonts w:cs="Arial"/>
                <w:color w:val="auto"/>
                <w:sz w:val="20"/>
                <w:szCs w:val="20"/>
              </w:rPr>
              <w:t>Calculation error led to slight over-allocation in 2019/20</w:t>
            </w:r>
          </w:p>
        </w:tc>
      </w:tr>
      <w:tr w:rsidR="005D6ECD" w:rsidRPr="005D6ECD" w14:paraId="7F8363DC" w14:textId="77777777" w:rsidTr="001E11DA">
        <w:trPr>
          <w:trHeight w:val="260"/>
        </w:trPr>
        <w:tc>
          <w:tcPr>
            <w:tcW w:w="4580" w:type="dxa"/>
            <w:tcBorders>
              <w:top w:val="nil"/>
              <w:left w:val="single" w:sz="4" w:space="0" w:color="auto"/>
              <w:bottom w:val="single" w:sz="4" w:space="0" w:color="auto"/>
              <w:right w:val="single" w:sz="4" w:space="0" w:color="auto"/>
            </w:tcBorders>
            <w:shd w:val="clear" w:color="auto" w:fill="auto"/>
            <w:noWrap/>
            <w:vAlign w:val="center"/>
            <w:hideMark/>
          </w:tcPr>
          <w:p w14:paraId="394D170E" w14:textId="77777777" w:rsidR="005D6ECD" w:rsidRPr="005D6ECD" w:rsidRDefault="005D6ECD" w:rsidP="005D6ECD">
            <w:pPr>
              <w:spacing w:after="0"/>
              <w:rPr>
                <w:rFonts w:cs="Arial"/>
                <w:color w:val="auto"/>
                <w:sz w:val="20"/>
                <w:szCs w:val="20"/>
              </w:rPr>
            </w:pPr>
            <w:r w:rsidRPr="005D6ECD">
              <w:rPr>
                <w:rFonts w:cs="Arial"/>
                <w:color w:val="auto"/>
                <w:sz w:val="20"/>
                <w:szCs w:val="20"/>
              </w:rPr>
              <w:t>Project 41</w:t>
            </w:r>
          </w:p>
        </w:tc>
        <w:tc>
          <w:tcPr>
            <w:tcW w:w="1320" w:type="dxa"/>
            <w:tcBorders>
              <w:top w:val="nil"/>
              <w:left w:val="nil"/>
              <w:bottom w:val="single" w:sz="4" w:space="0" w:color="auto"/>
              <w:right w:val="single" w:sz="4" w:space="0" w:color="auto"/>
            </w:tcBorders>
            <w:shd w:val="clear" w:color="auto" w:fill="auto"/>
            <w:noWrap/>
            <w:vAlign w:val="center"/>
            <w:hideMark/>
          </w:tcPr>
          <w:p w14:paraId="5D7A3F3D" w14:textId="77777777" w:rsidR="005D6ECD" w:rsidRPr="005D6ECD" w:rsidRDefault="005D6ECD" w:rsidP="005D6ECD">
            <w:pPr>
              <w:spacing w:after="0"/>
              <w:jc w:val="right"/>
              <w:rPr>
                <w:rFonts w:cs="Arial"/>
                <w:color w:val="auto"/>
                <w:sz w:val="20"/>
                <w:szCs w:val="20"/>
              </w:rPr>
            </w:pPr>
            <w:r w:rsidRPr="005D6ECD">
              <w:rPr>
                <w:rFonts w:cs="Arial"/>
                <w:color w:val="auto"/>
                <w:sz w:val="20"/>
                <w:szCs w:val="20"/>
              </w:rPr>
              <w:t>150,000</w:t>
            </w:r>
          </w:p>
        </w:tc>
        <w:tc>
          <w:tcPr>
            <w:tcW w:w="1280" w:type="dxa"/>
            <w:tcBorders>
              <w:top w:val="nil"/>
              <w:left w:val="nil"/>
              <w:bottom w:val="single" w:sz="4" w:space="0" w:color="auto"/>
              <w:right w:val="single" w:sz="4" w:space="0" w:color="auto"/>
            </w:tcBorders>
            <w:shd w:val="clear" w:color="auto" w:fill="auto"/>
            <w:noWrap/>
            <w:vAlign w:val="center"/>
            <w:hideMark/>
          </w:tcPr>
          <w:p w14:paraId="35D8E81E" w14:textId="77777777" w:rsidR="005D6ECD" w:rsidRPr="005D6ECD" w:rsidRDefault="005D6ECD" w:rsidP="005D6ECD">
            <w:pPr>
              <w:spacing w:after="0"/>
              <w:jc w:val="right"/>
              <w:rPr>
                <w:rFonts w:cs="Arial"/>
                <w:color w:val="auto"/>
                <w:sz w:val="20"/>
                <w:szCs w:val="20"/>
              </w:rPr>
            </w:pPr>
            <w:r w:rsidRPr="005D6ECD">
              <w:rPr>
                <w:rFonts w:cs="Arial"/>
                <w:color w:val="auto"/>
                <w:sz w:val="20"/>
                <w:szCs w:val="20"/>
              </w:rPr>
              <w:t>150,000</w:t>
            </w:r>
          </w:p>
        </w:tc>
        <w:tc>
          <w:tcPr>
            <w:tcW w:w="1260" w:type="dxa"/>
            <w:tcBorders>
              <w:top w:val="nil"/>
              <w:left w:val="nil"/>
              <w:bottom w:val="single" w:sz="4" w:space="0" w:color="auto"/>
              <w:right w:val="single" w:sz="4" w:space="0" w:color="auto"/>
            </w:tcBorders>
            <w:shd w:val="clear" w:color="auto" w:fill="auto"/>
            <w:noWrap/>
            <w:vAlign w:val="center"/>
            <w:hideMark/>
          </w:tcPr>
          <w:p w14:paraId="5D4DA262" w14:textId="77777777" w:rsidR="005D6ECD" w:rsidRPr="005D6ECD" w:rsidRDefault="005D6ECD" w:rsidP="005D6ECD">
            <w:pPr>
              <w:spacing w:after="0"/>
              <w:jc w:val="right"/>
              <w:rPr>
                <w:rFonts w:cs="Arial"/>
                <w:color w:val="auto"/>
                <w:sz w:val="20"/>
                <w:szCs w:val="20"/>
              </w:rPr>
            </w:pPr>
            <w:r w:rsidRPr="005D6ECD">
              <w:rPr>
                <w:rFonts w:cs="Arial"/>
                <w:color w:val="auto"/>
                <w:sz w:val="20"/>
                <w:szCs w:val="20"/>
              </w:rPr>
              <w:t>0</w:t>
            </w:r>
          </w:p>
        </w:tc>
        <w:tc>
          <w:tcPr>
            <w:tcW w:w="5594" w:type="dxa"/>
            <w:tcBorders>
              <w:top w:val="nil"/>
              <w:left w:val="nil"/>
              <w:bottom w:val="single" w:sz="4" w:space="0" w:color="auto"/>
              <w:right w:val="single" w:sz="4" w:space="0" w:color="auto"/>
            </w:tcBorders>
            <w:shd w:val="clear" w:color="auto" w:fill="auto"/>
            <w:noWrap/>
            <w:vAlign w:val="center"/>
            <w:hideMark/>
          </w:tcPr>
          <w:p w14:paraId="065B817E" w14:textId="77777777" w:rsidR="005D6ECD" w:rsidRPr="005D6ECD" w:rsidRDefault="005D6ECD" w:rsidP="005D6ECD">
            <w:pPr>
              <w:spacing w:after="0"/>
              <w:rPr>
                <w:rFonts w:cs="Arial"/>
                <w:color w:val="auto"/>
                <w:sz w:val="20"/>
                <w:szCs w:val="20"/>
              </w:rPr>
            </w:pPr>
            <w:r w:rsidRPr="005D6ECD">
              <w:rPr>
                <w:rFonts w:cs="Arial"/>
                <w:color w:val="auto"/>
                <w:sz w:val="20"/>
                <w:szCs w:val="20"/>
              </w:rPr>
              <w:t> </w:t>
            </w:r>
          </w:p>
        </w:tc>
      </w:tr>
      <w:tr w:rsidR="005D6ECD" w:rsidRPr="005D6ECD" w14:paraId="08BB11C9" w14:textId="77777777" w:rsidTr="001E11DA">
        <w:trPr>
          <w:trHeight w:val="260"/>
        </w:trPr>
        <w:tc>
          <w:tcPr>
            <w:tcW w:w="4580" w:type="dxa"/>
            <w:tcBorders>
              <w:top w:val="nil"/>
              <w:left w:val="single" w:sz="4" w:space="0" w:color="auto"/>
              <w:bottom w:val="nil"/>
              <w:right w:val="single" w:sz="4" w:space="0" w:color="auto"/>
            </w:tcBorders>
            <w:shd w:val="clear" w:color="auto" w:fill="auto"/>
            <w:noWrap/>
            <w:vAlign w:val="center"/>
            <w:hideMark/>
          </w:tcPr>
          <w:p w14:paraId="6E9AEBC0" w14:textId="77777777" w:rsidR="005D6ECD" w:rsidRPr="005D6ECD" w:rsidRDefault="005D6ECD" w:rsidP="005D6ECD">
            <w:pPr>
              <w:spacing w:after="0"/>
              <w:rPr>
                <w:rFonts w:cs="Arial"/>
                <w:color w:val="auto"/>
                <w:sz w:val="20"/>
                <w:szCs w:val="20"/>
              </w:rPr>
            </w:pPr>
            <w:r w:rsidRPr="005D6ECD">
              <w:rPr>
                <w:rFonts w:cs="Arial"/>
                <w:color w:val="auto"/>
                <w:sz w:val="20"/>
                <w:szCs w:val="20"/>
              </w:rPr>
              <w:t>Matilda House (</w:t>
            </w:r>
            <w:proofErr w:type="spellStart"/>
            <w:r w:rsidRPr="005D6ECD">
              <w:rPr>
                <w:rFonts w:cs="Arial"/>
                <w:color w:val="auto"/>
                <w:sz w:val="20"/>
                <w:szCs w:val="20"/>
              </w:rPr>
              <w:t>Rymer's</w:t>
            </w:r>
            <w:proofErr w:type="spellEnd"/>
            <w:r w:rsidRPr="005D6ECD">
              <w:rPr>
                <w:rFonts w:cs="Arial"/>
                <w:color w:val="auto"/>
                <w:sz w:val="20"/>
                <w:szCs w:val="20"/>
              </w:rPr>
              <w:t xml:space="preserve"> Lane)</w:t>
            </w:r>
          </w:p>
        </w:tc>
        <w:tc>
          <w:tcPr>
            <w:tcW w:w="1320" w:type="dxa"/>
            <w:tcBorders>
              <w:top w:val="nil"/>
              <w:left w:val="nil"/>
              <w:bottom w:val="nil"/>
              <w:right w:val="nil"/>
            </w:tcBorders>
            <w:shd w:val="clear" w:color="auto" w:fill="auto"/>
            <w:noWrap/>
            <w:vAlign w:val="center"/>
            <w:hideMark/>
          </w:tcPr>
          <w:p w14:paraId="48531644" w14:textId="77777777" w:rsidR="005D6ECD" w:rsidRPr="005D6ECD" w:rsidRDefault="005D6ECD" w:rsidP="005D6ECD">
            <w:pPr>
              <w:spacing w:after="0"/>
              <w:jc w:val="right"/>
              <w:rPr>
                <w:rFonts w:cs="Arial"/>
                <w:color w:val="auto"/>
                <w:sz w:val="20"/>
                <w:szCs w:val="20"/>
              </w:rPr>
            </w:pPr>
            <w:r w:rsidRPr="005D6ECD">
              <w:rPr>
                <w:rFonts w:cs="Arial"/>
                <w:color w:val="auto"/>
                <w:sz w:val="20"/>
                <w:szCs w:val="20"/>
              </w:rPr>
              <w:t>218,750</w:t>
            </w:r>
          </w:p>
        </w:tc>
        <w:tc>
          <w:tcPr>
            <w:tcW w:w="1280" w:type="dxa"/>
            <w:tcBorders>
              <w:top w:val="nil"/>
              <w:left w:val="nil"/>
              <w:bottom w:val="nil"/>
              <w:right w:val="single" w:sz="4" w:space="0" w:color="auto"/>
            </w:tcBorders>
            <w:shd w:val="clear" w:color="auto" w:fill="auto"/>
            <w:noWrap/>
            <w:vAlign w:val="center"/>
            <w:hideMark/>
          </w:tcPr>
          <w:p w14:paraId="368A0FBC" w14:textId="77777777" w:rsidR="005D6ECD" w:rsidRPr="005D6ECD" w:rsidRDefault="005D6ECD" w:rsidP="005D6ECD">
            <w:pPr>
              <w:spacing w:after="0"/>
              <w:jc w:val="right"/>
              <w:rPr>
                <w:rFonts w:cs="Arial"/>
                <w:color w:val="auto"/>
                <w:sz w:val="20"/>
                <w:szCs w:val="20"/>
              </w:rPr>
            </w:pPr>
            <w:r w:rsidRPr="005D6ECD">
              <w:rPr>
                <w:rFonts w:cs="Arial"/>
                <w:color w:val="auto"/>
                <w:sz w:val="20"/>
                <w:szCs w:val="20"/>
              </w:rPr>
              <w:t>225,000</w:t>
            </w:r>
          </w:p>
        </w:tc>
        <w:tc>
          <w:tcPr>
            <w:tcW w:w="1260" w:type="dxa"/>
            <w:tcBorders>
              <w:top w:val="nil"/>
              <w:left w:val="nil"/>
              <w:bottom w:val="nil"/>
              <w:right w:val="single" w:sz="4" w:space="0" w:color="auto"/>
            </w:tcBorders>
            <w:shd w:val="clear" w:color="auto" w:fill="auto"/>
            <w:noWrap/>
            <w:vAlign w:val="center"/>
            <w:hideMark/>
          </w:tcPr>
          <w:p w14:paraId="698A81C0" w14:textId="77777777" w:rsidR="005D6ECD" w:rsidRPr="005D6ECD" w:rsidRDefault="005D6ECD" w:rsidP="005D6ECD">
            <w:pPr>
              <w:spacing w:after="0"/>
              <w:jc w:val="right"/>
              <w:rPr>
                <w:rFonts w:cs="Arial"/>
                <w:color w:val="auto"/>
                <w:sz w:val="20"/>
                <w:szCs w:val="20"/>
              </w:rPr>
            </w:pPr>
            <w:r w:rsidRPr="005D6ECD">
              <w:rPr>
                <w:rFonts w:cs="Arial"/>
                <w:color w:val="auto"/>
                <w:sz w:val="20"/>
                <w:szCs w:val="20"/>
              </w:rPr>
              <w:t>6,250</w:t>
            </w:r>
          </w:p>
        </w:tc>
        <w:tc>
          <w:tcPr>
            <w:tcW w:w="5594" w:type="dxa"/>
            <w:tcBorders>
              <w:top w:val="nil"/>
              <w:left w:val="nil"/>
              <w:bottom w:val="nil"/>
              <w:right w:val="single" w:sz="4" w:space="0" w:color="auto"/>
            </w:tcBorders>
            <w:shd w:val="clear" w:color="auto" w:fill="auto"/>
            <w:noWrap/>
            <w:vAlign w:val="center"/>
            <w:hideMark/>
          </w:tcPr>
          <w:p w14:paraId="01A09685" w14:textId="77777777" w:rsidR="005D6ECD" w:rsidRPr="005D6ECD" w:rsidRDefault="005D6ECD" w:rsidP="005D6ECD">
            <w:pPr>
              <w:spacing w:after="0"/>
              <w:rPr>
                <w:rFonts w:cs="Arial"/>
                <w:color w:val="auto"/>
                <w:sz w:val="20"/>
                <w:szCs w:val="20"/>
              </w:rPr>
            </w:pPr>
            <w:r w:rsidRPr="005D6ECD">
              <w:rPr>
                <w:rFonts w:cs="Arial"/>
                <w:color w:val="auto"/>
                <w:sz w:val="20"/>
                <w:szCs w:val="20"/>
              </w:rPr>
              <w:t> </w:t>
            </w:r>
          </w:p>
        </w:tc>
      </w:tr>
      <w:tr w:rsidR="005D6ECD" w:rsidRPr="005D6ECD" w14:paraId="0F17782B" w14:textId="77777777" w:rsidTr="001E11DA">
        <w:trPr>
          <w:trHeight w:val="260"/>
        </w:trPr>
        <w:tc>
          <w:tcPr>
            <w:tcW w:w="4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A5F89B" w14:textId="77777777" w:rsidR="005D6ECD" w:rsidRPr="005D6ECD" w:rsidRDefault="005D6ECD" w:rsidP="005D6ECD">
            <w:pPr>
              <w:spacing w:after="0"/>
              <w:rPr>
                <w:rFonts w:cs="Arial"/>
                <w:color w:val="auto"/>
                <w:sz w:val="20"/>
                <w:szCs w:val="20"/>
              </w:rPr>
            </w:pPr>
            <w:r w:rsidRPr="005D6ECD">
              <w:rPr>
                <w:rFonts w:cs="Arial"/>
                <w:color w:val="auto"/>
                <w:sz w:val="20"/>
                <w:szCs w:val="20"/>
              </w:rPr>
              <w:t>Mayday Trust 10 units</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14:paraId="793F1434" w14:textId="77777777" w:rsidR="005D6ECD" w:rsidRPr="005D6ECD" w:rsidRDefault="005D6ECD" w:rsidP="005D6ECD">
            <w:pPr>
              <w:spacing w:after="0"/>
              <w:jc w:val="right"/>
              <w:rPr>
                <w:rFonts w:cs="Arial"/>
                <w:color w:val="auto"/>
                <w:sz w:val="20"/>
                <w:szCs w:val="20"/>
              </w:rPr>
            </w:pPr>
            <w:r w:rsidRPr="005D6ECD">
              <w:rPr>
                <w:rFonts w:cs="Arial"/>
                <w:color w:val="auto"/>
                <w:sz w:val="20"/>
                <w:szCs w:val="20"/>
              </w:rPr>
              <w:t>39,272</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14:paraId="03F718CD" w14:textId="77777777" w:rsidR="005D6ECD" w:rsidRPr="005D6ECD" w:rsidRDefault="005D6ECD" w:rsidP="005D6ECD">
            <w:pPr>
              <w:spacing w:after="0"/>
              <w:jc w:val="right"/>
              <w:rPr>
                <w:rFonts w:cs="Arial"/>
                <w:color w:val="auto"/>
                <w:sz w:val="20"/>
                <w:szCs w:val="20"/>
              </w:rPr>
            </w:pPr>
            <w:r w:rsidRPr="005D6ECD">
              <w:rPr>
                <w:rFonts w:cs="Arial"/>
                <w:color w:val="auto"/>
                <w:sz w:val="20"/>
                <w:szCs w:val="20"/>
              </w:rPr>
              <w:t>39,272</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14:paraId="397F1CC2" w14:textId="77777777" w:rsidR="005D6ECD" w:rsidRPr="005D6ECD" w:rsidRDefault="005D6ECD" w:rsidP="005D6ECD">
            <w:pPr>
              <w:spacing w:after="0"/>
              <w:jc w:val="right"/>
              <w:rPr>
                <w:rFonts w:cs="Arial"/>
                <w:color w:val="auto"/>
                <w:sz w:val="20"/>
                <w:szCs w:val="20"/>
              </w:rPr>
            </w:pPr>
            <w:r w:rsidRPr="005D6ECD">
              <w:rPr>
                <w:rFonts w:cs="Arial"/>
                <w:color w:val="auto"/>
                <w:sz w:val="20"/>
                <w:szCs w:val="20"/>
              </w:rPr>
              <w:t>0</w:t>
            </w:r>
          </w:p>
        </w:tc>
        <w:tc>
          <w:tcPr>
            <w:tcW w:w="5594" w:type="dxa"/>
            <w:tcBorders>
              <w:top w:val="single" w:sz="4" w:space="0" w:color="auto"/>
              <w:left w:val="nil"/>
              <w:bottom w:val="nil"/>
              <w:right w:val="single" w:sz="4" w:space="0" w:color="auto"/>
            </w:tcBorders>
            <w:shd w:val="clear" w:color="auto" w:fill="auto"/>
            <w:noWrap/>
            <w:vAlign w:val="center"/>
            <w:hideMark/>
          </w:tcPr>
          <w:p w14:paraId="5C7EFF5D" w14:textId="77777777" w:rsidR="005D6ECD" w:rsidRPr="005D6ECD" w:rsidRDefault="005D6ECD" w:rsidP="005D6ECD">
            <w:pPr>
              <w:spacing w:after="0"/>
              <w:rPr>
                <w:rFonts w:cs="Arial"/>
                <w:color w:val="auto"/>
                <w:sz w:val="20"/>
                <w:szCs w:val="20"/>
              </w:rPr>
            </w:pPr>
            <w:r w:rsidRPr="005D6ECD">
              <w:rPr>
                <w:rFonts w:cs="Arial"/>
                <w:color w:val="auto"/>
                <w:sz w:val="20"/>
                <w:szCs w:val="20"/>
              </w:rPr>
              <w:t> </w:t>
            </w:r>
          </w:p>
        </w:tc>
      </w:tr>
      <w:tr w:rsidR="005D6ECD" w:rsidRPr="005D6ECD" w14:paraId="0389EF50" w14:textId="77777777" w:rsidTr="001E11DA">
        <w:trPr>
          <w:trHeight w:val="260"/>
        </w:trPr>
        <w:tc>
          <w:tcPr>
            <w:tcW w:w="4580" w:type="dxa"/>
            <w:tcBorders>
              <w:top w:val="nil"/>
              <w:left w:val="single" w:sz="4" w:space="0" w:color="auto"/>
              <w:bottom w:val="single" w:sz="4" w:space="0" w:color="auto"/>
              <w:right w:val="single" w:sz="4" w:space="0" w:color="auto"/>
            </w:tcBorders>
            <w:shd w:val="clear" w:color="auto" w:fill="auto"/>
            <w:vAlign w:val="center"/>
            <w:hideMark/>
          </w:tcPr>
          <w:p w14:paraId="1269B3E2" w14:textId="77777777" w:rsidR="005D6ECD" w:rsidRPr="005D6ECD" w:rsidRDefault="005D6ECD" w:rsidP="005D6ECD">
            <w:pPr>
              <w:spacing w:after="0"/>
              <w:rPr>
                <w:rFonts w:cs="Arial"/>
                <w:color w:val="auto"/>
                <w:sz w:val="20"/>
                <w:szCs w:val="20"/>
              </w:rPr>
            </w:pPr>
            <w:r w:rsidRPr="005D6ECD">
              <w:rPr>
                <w:rFonts w:cs="Arial"/>
                <w:color w:val="auto"/>
                <w:sz w:val="20"/>
                <w:szCs w:val="20"/>
              </w:rPr>
              <w:t>Severe Weather Beds - various</w:t>
            </w:r>
          </w:p>
        </w:tc>
        <w:tc>
          <w:tcPr>
            <w:tcW w:w="1320" w:type="dxa"/>
            <w:tcBorders>
              <w:top w:val="nil"/>
              <w:left w:val="nil"/>
              <w:bottom w:val="single" w:sz="4" w:space="0" w:color="auto"/>
              <w:right w:val="single" w:sz="4" w:space="0" w:color="auto"/>
            </w:tcBorders>
            <w:shd w:val="clear" w:color="auto" w:fill="auto"/>
            <w:noWrap/>
            <w:vAlign w:val="center"/>
            <w:hideMark/>
          </w:tcPr>
          <w:p w14:paraId="7C26A9A8" w14:textId="77777777" w:rsidR="005D6ECD" w:rsidRPr="005D6ECD" w:rsidRDefault="005D6ECD" w:rsidP="005D6ECD">
            <w:pPr>
              <w:spacing w:after="0"/>
              <w:jc w:val="right"/>
              <w:rPr>
                <w:rFonts w:cs="Arial"/>
                <w:color w:val="auto"/>
                <w:sz w:val="20"/>
                <w:szCs w:val="20"/>
              </w:rPr>
            </w:pPr>
            <w:r w:rsidRPr="005D6ECD">
              <w:rPr>
                <w:rFonts w:cs="Arial"/>
                <w:color w:val="auto"/>
                <w:sz w:val="20"/>
                <w:szCs w:val="20"/>
              </w:rPr>
              <w:t>30,000</w:t>
            </w:r>
          </w:p>
        </w:tc>
        <w:tc>
          <w:tcPr>
            <w:tcW w:w="1280" w:type="dxa"/>
            <w:tcBorders>
              <w:top w:val="nil"/>
              <w:left w:val="nil"/>
              <w:bottom w:val="single" w:sz="4" w:space="0" w:color="auto"/>
              <w:right w:val="single" w:sz="4" w:space="0" w:color="auto"/>
            </w:tcBorders>
            <w:shd w:val="clear" w:color="auto" w:fill="auto"/>
            <w:noWrap/>
            <w:vAlign w:val="center"/>
            <w:hideMark/>
          </w:tcPr>
          <w:p w14:paraId="724799F3" w14:textId="77777777" w:rsidR="005D6ECD" w:rsidRPr="005D6ECD" w:rsidRDefault="005D6ECD" w:rsidP="005D6ECD">
            <w:pPr>
              <w:spacing w:after="0"/>
              <w:jc w:val="right"/>
              <w:rPr>
                <w:rFonts w:cs="Arial"/>
                <w:color w:val="auto"/>
                <w:sz w:val="20"/>
                <w:szCs w:val="20"/>
              </w:rPr>
            </w:pPr>
            <w:r w:rsidRPr="005D6ECD">
              <w:rPr>
                <w:rFonts w:cs="Arial"/>
                <w:color w:val="auto"/>
                <w:sz w:val="20"/>
                <w:szCs w:val="20"/>
              </w:rPr>
              <w:t>30,000</w:t>
            </w:r>
          </w:p>
        </w:tc>
        <w:tc>
          <w:tcPr>
            <w:tcW w:w="1260" w:type="dxa"/>
            <w:tcBorders>
              <w:top w:val="nil"/>
              <w:left w:val="nil"/>
              <w:bottom w:val="single" w:sz="4" w:space="0" w:color="auto"/>
              <w:right w:val="single" w:sz="4" w:space="0" w:color="auto"/>
            </w:tcBorders>
            <w:shd w:val="clear" w:color="auto" w:fill="auto"/>
            <w:noWrap/>
            <w:vAlign w:val="center"/>
            <w:hideMark/>
          </w:tcPr>
          <w:p w14:paraId="3FE9EC4C" w14:textId="77777777" w:rsidR="005D6ECD" w:rsidRPr="005D6ECD" w:rsidRDefault="005D6ECD" w:rsidP="005D6ECD">
            <w:pPr>
              <w:spacing w:after="0"/>
              <w:jc w:val="right"/>
              <w:rPr>
                <w:rFonts w:cs="Arial"/>
                <w:color w:val="auto"/>
                <w:sz w:val="20"/>
                <w:szCs w:val="20"/>
              </w:rPr>
            </w:pPr>
            <w:r w:rsidRPr="005D6ECD">
              <w:rPr>
                <w:rFonts w:cs="Arial"/>
                <w:color w:val="auto"/>
                <w:sz w:val="20"/>
                <w:szCs w:val="20"/>
              </w:rPr>
              <w:t>0</w:t>
            </w:r>
          </w:p>
        </w:tc>
        <w:tc>
          <w:tcPr>
            <w:tcW w:w="5594" w:type="dxa"/>
            <w:tcBorders>
              <w:top w:val="single" w:sz="4" w:space="0" w:color="auto"/>
              <w:left w:val="nil"/>
              <w:bottom w:val="single" w:sz="4" w:space="0" w:color="auto"/>
              <w:right w:val="single" w:sz="4" w:space="0" w:color="auto"/>
            </w:tcBorders>
            <w:shd w:val="clear" w:color="auto" w:fill="auto"/>
            <w:vAlign w:val="center"/>
            <w:hideMark/>
          </w:tcPr>
          <w:p w14:paraId="0C1B048B" w14:textId="77777777" w:rsidR="005D6ECD" w:rsidRPr="005D6ECD" w:rsidRDefault="005D6ECD" w:rsidP="005D6ECD">
            <w:pPr>
              <w:spacing w:after="0"/>
              <w:rPr>
                <w:rFonts w:cs="Arial"/>
                <w:color w:val="auto"/>
                <w:sz w:val="20"/>
                <w:szCs w:val="20"/>
              </w:rPr>
            </w:pPr>
            <w:r w:rsidRPr="005D6ECD">
              <w:rPr>
                <w:rFonts w:cs="Arial"/>
                <w:color w:val="auto"/>
                <w:sz w:val="20"/>
                <w:szCs w:val="20"/>
              </w:rPr>
              <w:t> </w:t>
            </w:r>
          </w:p>
        </w:tc>
      </w:tr>
      <w:tr w:rsidR="005D6ECD" w:rsidRPr="005D6ECD" w14:paraId="34B11989" w14:textId="77777777" w:rsidTr="001E11DA">
        <w:trPr>
          <w:trHeight w:val="260"/>
        </w:trPr>
        <w:tc>
          <w:tcPr>
            <w:tcW w:w="4580" w:type="dxa"/>
            <w:tcBorders>
              <w:top w:val="nil"/>
              <w:left w:val="single" w:sz="4" w:space="0" w:color="auto"/>
              <w:bottom w:val="single" w:sz="4" w:space="0" w:color="auto"/>
              <w:right w:val="single" w:sz="4" w:space="0" w:color="auto"/>
            </w:tcBorders>
            <w:shd w:val="clear" w:color="000000" w:fill="8DB4E2"/>
            <w:vAlign w:val="center"/>
            <w:hideMark/>
          </w:tcPr>
          <w:p w14:paraId="5DAE86FC" w14:textId="77777777" w:rsidR="005D6ECD" w:rsidRPr="005D6ECD" w:rsidRDefault="005D6ECD" w:rsidP="005D6ECD">
            <w:pPr>
              <w:spacing w:after="0"/>
              <w:jc w:val="center"/>
              <w:rPr>
                <w:rFonts w:cs="Arial"/>
                <w:b/>
                <w:bCs/>
                <w:color w:val="auto"/>
                <w:sz w:val="20"/>
                <w:szCs w:val="20"/>
              </w:rPr>
            </w:pPr>
            <w:r w:rsidRPr="005D6ECD">
              <w:rPr>
                <w:rFonts w:cs="Arial"/>
                <w:b/>
                <w:bCs/>
                <w:color w:val="auto"/>
                <w:sz w:val="20"/>
                <w:szCs w:val="20"/>
              </w:rPr>
              <w:t>Preventing homelessness</w:t>
            </w:r>
          </w:p>
        </w:tc>
        <w:tc>
          <w:tcPr>
            <w:tcW w:w="1320" w:type="dxa"/>
            <w:tcBorders>
              <w:top w:val="nil"/>
              <w:left w:val="nil"/>
              <w:bottom w:val="single" w:sz="4" w:space="0" w:color="auto"/>
              <w:right w:val="single" w:sz="4" w:space="0" w:color="auto"/>
            </w:tcBorders>
            <w:shd w:val="clear" w:color="000000" w:fill="8DB4E2"/>
            <w:noWrap/>
            <w:vAlign w:val="center"/>
            <w:hideMark/>
          </w:tcPr>
          <w:p w14:paraId="0B7D50DC" w14:textId="77777777" w:rsidR="005D6ECD" w:rsidRPr="005D6ECD" w:rsidRDefault="005D6ECD" w:rsidP="005D6ECD">
            <w:pPr>
              <w:spacing w:after="0"/>
              <w:jc w:val="right"/>
              <w:rPr>
                <w:rFonts w:cs="Arial"/>
                <w:b/>
                <w:bCs/>
                <w:color w:val="auto"/>
                <w:sz w:val="20"/>
                <w:szCs w:val="20"/>
              </w:rPr>
            </w:pPr>
            <w:r w:rsidRPr="005D6ECD">
              <w:rPr>
                <w:rFonts w:cs="Arial"/>
                <w:b/>
                <w:bCs/>
                <w:color w:val="auto"/>
                <w:sz w:val="20"/>
                <w:szCs w:val="20"/>
              </w:rPr>
              <w:t>163,630</w:t>
            </w:r>
          </w:p>
        </w:tc>
        <w:tc>
          <w:tcPr>
            <w:tcW w:w="1280" w:type="dxa"/>
            <w:tcBorders>
              <w:top w:val="nil"/>
              <w:left w:val="nil"/>
              <w:bottom w:val="single" w:sz="4" w:space="0" w:color="auto"/>
              <w:right w:val="single" w:sz="4" w:space="0" w:color="auto"/>
            </w:tcBorders>
            <w:shd w:val="clear" w:color="000000" w:fill="8DB4E2"/>
            <w:noWrap/>
            <w:vAlign w:val="center"/>
            <w:hideMark/>
          </w:tcPr>
          <w:p w14:paraId="6193BD32" w14:textId="77777777" w:rsidR="005D6ECD" w:rsidRPr="005D6ECD" w:rsidRDefault="005D6ECD" w:rsidP="005D6ECD">
            <w:pPr>
              <w:spacing w:after="0"/>
              <w:jc w:val="right"/>
              <w:rPr>
                <w:rFonts w:cs="Arial"/>
                <w:b/>
                <w:bCs/>
                <w:color w:val="auto"/>
                <w:sz w:val="20"/>
                <w:szCs w:val="20"/>
              </w:rPr>
            </w:pPr>
            <w:r w:rsidRPr="005D6ECD">
              <w:rPr>
                <w:rFonts w:cs="Arial"/>
                <w:b/>
                <w:bCs/>
                <w:color w:val="auto"/>
                <w:sz w:val="20"/>
                <w:szCs w:val="20"/>
              </w:rPr>
              <w:t>119,009</w:t>
            </w:r>
          </w:p>
        </w:tc>
        <w:tc>
          <w:tcPr>
            <w:tcW w:w="1260" w:type="dxa"/>
            <w:tcBorders>
              <w:top w:val="nil"/>
              <w:left w:val="nil"/>
              <w:bottom w:val="single" w:sz="4" w:space="0" w:color="auto"/>
              <w:right w:val="single" w:sz="4" w:space="0" w:color="auto"/>
            </w:tcBorders>
            <w:shd w:val="clear" w:color="000000" w:fill="8DB4E2"/>
            <w:noWrap/>
            <w:vAlign w:val="center"/>
            <w:hideMark/>
          </w:tcPr>
          <w:p w14:paraId="7BCE069F" w14:textId="77777777" w:rsidR="005D6ECD" w:rsidRPr="005D6ECD" w:rsidRDefault="005D6ECD" w:rsidP="005D6ECD">
            <w:pPr>
              <w:spacing w:after="0"/>
              <w:jc w:val="right"/>
              <w:rPr>
                <w:rFonts w:cs="Arial"/>
                <w:b/>
                <w:bCs/>
                <w:color w:val="auto"/>
                <w:sz w:val="20"/>
                <w:szCs w:val="20"/>
              </w:rPr>
            </w:pPr>
            <w:r w:rsidRPr="005D6ECD">
              <w:rPr>
                <w:rFonts w:cs="Arial"/>
                <w:b/>
                <w:bCs/>
                <w:color w:val="auto"/>
                <w:sz w:val="20"/>
                <w:szCs w:val="20"/>
              </w:rPr>
              <w:t>-44,621</w:t>
            </w:r>
          </w:p>
        </w:tc>
        <w:tc>
          <w:tcPr>
            <w:tcW w:w="5594" w:type="dxa"/>
            <w:tcBorders>
              <w:top w:val="nil"/>
              <w:left w:val="nil"/>
              <w:bottom w:val="single" w:sz="4" w:space="0" w:color="auto"/>
              <w:right w:val="single" w:sz="4" w:space="0" w:color="auto"/>
            </w:tcBorders>
            <w:shd w:val="clear" w:color="000000" w:fill="8DB4E2"/>
            <w:vAlign w:val="center"/>
            <w:hideMark/>
          </w:tcPr>
          <w:p w14:paraId="29E0EB56" w14:textId="77777777" w:rsidR="005D6ECD" w:rsidRPr="005D6ECD" w:rsidRDefault="005D6ECD" w:rsidP="005D6ECD">
            <w:pPr>
              <w:spacing w:after="0"/>
              <w:jc w:val="center"/>
              <w:rPr>
                <w:rFonts w:cs="Arial"/>
                <w:color w:val="auto"/>
                <w:sz w:val="20"/>
                <w:szCs w:val="20"/>
              </w:rPr>
            </w:pPr>
            <w:r w:rsidRPr="005D6ECD">
              <w:rPr>
                <w:rFonts w:cs="Arial"/>
                <w:color w:val="auto"/>
                <w:sz w:val="20"/>
                <w:szCs w:val="20"/>
              </w:rPr>
              <w:t> </w:t>
            </w:r>
          </w:p>
        </w:tc>
      </w:tr>
      <w:tr w:rsidR="005D6ECD" w:rsidRPr="005D6ECD" w14:paraId="321A30EB" w14:textId="77777777" w:rsidTr="001E11DA">
        <w:trPr>
          <w:trHeight w:val="260"/>
        </w:trPr>
        <w:tc>
          <w:tcPr>
            <w:tcW w:w="4580" w:type="dxa"/>
            <w:tcBorders>
              <w:top w:val="nil"/>
              <w:left w:val="single" w:sz="4" w:space="0" w:color="auto"/>
              <w:bottom w:val="single" w:sz="4" w:space="0" w:color="auto"/>
              <w:right w:val="single" w:sz="4" w:space="0" w:color="auto"/>
            </w:tcBorders>
            <w:shd w:val="clear" w:color="auto" w:fill="auto"/>
            <w:vAlign w:val="center"/>
            <w:hideMark/>
          </w:tcPr>
          <w:p w14:paraId="092D67B4" w14:textId="77777777" w:rsidR="005D6ECD" w:rsidRPr="005D6ECD" w:rsidRDefault="005D6ECD" w:rsidP="005D6ECD">
            <w:pPr>
              <w:spacing w:after="0"/>
              <w:rPr>
                <w:rFonts w:cs="Arial"/>
                <w:color w:val="auto"/>
                <w:sz w:val="20"/>
                <w:szCs w:val="20"/>
              </w:rPr>
            </w:pPr>
            <w:r w:rsidRPr="005D6ECD">
              <w:rPr>
                <w:rFonts w:cs="Arial"/>
                <w:color w:val="auto"/>
                <w:sz w:val="20"/>
                <w:szCs w:val="20"/>
              </w:rPr>
              <w:t xml:space="preserve">Tenancy Sustainment Officer - Elmore </w:t>
            </w:r>
          </w:p>
        </w:tc>
        <w:tc>
          <w:tcPr>
            <w:tcW w:w="1320" w:type="dxa"/>
            <w:tcBorders>
              <w:top w:val="nil"/>
              <w:left w:val="nil"/>
              <w:bottom w:val="single" w:sz="4" w:space="0" w:color="auto"/>
              <w:right w:val="single" w:sz="4" w:space="0" w:color="auto"/>
            </w:tcBorders>
            <w:shd w:val="clear" w:color="auto" w:fill="auto"/>
            <w:vAlign w:val="center"/>
            <w:hideMark/>
          </w:tcPr>
          <w:p w14:paraId="2DF00A15" w14:textId="77777777" w:rsidR="005D6ECD" w:rsidRPr="005D6ECD" w:rsidRDefault="005D6ECD" w:rsidP="005D6ECD">
            <w:pPr>
              <w:spacing w:after="0"/>
              <w:jc w:val="right"/>
              <w:rPr>
                <w:rFonts w:cs="Arial"/>
                <w:color w:val="auto"/>
                <w:sz w:val="20"/>
                <w:szCs w:val="20"/>
              </w:rPr>
            </w:pPr>
            <w:r w:rsidRPr="005D6ECD">
              <w:rPr>
                <w:rFonts w:cs="Arial"/>
                <w:color w:val="auto"/>
                <w:sz w:val="20"/>
                <w:szCs w:val="20"/>
              </w:rPr>
              <w:t>35,630</w:t>
            </w:r>
          </w:p>
        </w:tc>
        <w:tc>
          <w:tcPr>
            <w:tcW w:w="1280" w:type="dxa"/>
            <w:tcBorders>
              <w:top w:val="nil"/>
              <w:left w:val="nil"/>
              <w:bottom w:val="single" w:sz="4" w:space="0" w:color="auto"/>
              <w:right w:val="single" w:sz="4" w:space="0" w:color="auto"/>
            </w:tcBorders>
            <w:shd w:val="clear" w:color="auto" w:fill="auto"/>
            <w:vAlign w:val="center"/>
            <w:hideMark/>
          </w:tcPr>
          <w:p w14:paraId="6CBF891D" w14:textId="77777777" w:rsidR="005D6ECD" w:rsidRPr="005D6ECD" w:rsidRDefault="005D6ECD" w:rsidP="005D6ECD">
            <w:pPr>
              <w:spacing w:after="0"/>
              <w:jc w:val="right"/>
              <w:rPr>
                <w:rFonts w:cs="Arial"/>
                <w:color w:val="auto"/>
                <w:sz w:val="20"/>
                <w:szCs w:val="20"/>
              </w:rPr>
            </w:pPr>
            <w:r w:rsidRPr="005D6ECD">
              <w:rPr>
                <w:rFonts w:cs="Arial"/>
                <w:color w:val="auto"/>
                <w:sz w:val="20"/>
                <w:szCs w:val="20"/>
              </w:rPr>
              <w:t>35,630</w:t>
            </w:r>
          </w:p>
        </w:tc>
        <w:tc>
          <w:tcPr>
            <w:tcW w:w="1260" w:type="dxa"/>
            <w:tcBorders>
              <w:top w:val="nil"/>
              <w:left w:val="nil"/>
              <w:bottom w:val="single" w:sz="4" w:space="0" w:color="auto"/>
              <w:right w:val="single" w:sz="4" w:space="0" w:color="auto"/>
            </w:tcBorders>
            <w:shd w:val="clear" w:color="auto" w:fill="auto"/>
            <w:vAlign w:val="center"/>
            <w:hideMark/>
          </w:tcPr>
          <w:p w14:paraId="0AFC144D" w14:textId="77777777" w:rsidR="005D6ECD" w:rsidRPr="005D6ECD" w:rsidRDefault="005D6ECD" w:rsidP="005D6ECD">
            <w:pPr>
              <w:spacing w:after="0"/>
              <w:jc w:val="right"/>
              <w:rPr>
                <w:rFonts w:cs="Arial"/>
                <w:color w:val="auto"/>
                <w:sz w:val="20"/>
                <w:szCs w:val="20"/>
              </w:rPr>
            </w:pPr>
            <w:r w:rsidRPr="005D6ECD">
              <w:rPr>
                <w:rFonts w:cs="Arial"/>
                <w:color w:val="auto"/>
                <w:sz w:val="20"/>
                <w:szCs w:val="20"/>
              </w:rPr>
              <w:t>0</w:t>
            </w:r>
          </w:p>
        </w:tc>
        <w:tc>
          <w:tcPr>
            <w:tcW w:w="5594" w:type="dxa"/>
            <w:tcBorders>
              <w:top w:val="nil"/>
              <w:left w:val="nil"/>
              <w:bottom w:val="single" w:sz="4" w:space="0" w:color="auto"/>
              <w:right w:val="single" w:sz="4" w:space="0" w:color="auto"/>
            </w:tcBorders>
            <w:shd w:val="clear" w:color="auto" w:fill="auto"/>
            <w:noWrap/>
            <w:vAlign w:val="center"/>
            <w:hideMark/>
          </w:tcPr>
          <w:p w14:paraId="03A37DB5" w14:textId="77777777" w:rsidR="005D6ECD" w:rsidRPr="005D6ECD" w:rsidRDefault="005D6ECD" w:rsidP="005D6ECD">
            <w:pPr>
              <w:spacing w:after="0"/>
              <w:rPr>
                <w:rFonts w:cs="Arial"/>
                <w:color w:val="auto"/>
                <w:sz w:val="20"/>
                <w:szCs w:val="20"/>
              </w:rPr>
            </w:pPr>
            <w:r w:rsidRPr="005D6ECD">
              <w:rPr>
                <w:rFonts w:cs="Arial"/>
                <w:color w:val="auto"/>
                <w:sz w:val="20"/>
                <w:szCs w:val="20"/>
              </w:rPr>
              <w:t> </w:t>
            </w:r>
          </w:p>
        </w:tc>
      </w:tr>
      <w:tr w:rsidR="005D6ECD" w:rsidRPr="005D6ECD" w14:paraId="16BC82B0" w14:textId="77777777" w:rsidTr="001E11DA">
        <w:trPr>
          <w:trHeight w:val="260"/>
        </w:trPr>
        <w:tc>
          <w:tcPr>
            <w:tcW w:w="4580" w:type="dxa"/>
            <w:tcBorders>
              <w:top w:val="nil"/>
              <w:left w:val="single" w:sz="4" w:space="0" w:color="auto"/>
              <w:bottom w:val="single" w:sz="4" w:space="0" w:color="auto"/>
              <w:right w:val="single" w:sz="4" w:space="0" w:color="auto"/>
            </w:tcBorders>
            <w:shd w:val="clear" w:color="auto" w:fill="auto"/>
            <w:vAlign w:val="center"/>
            <w:hideMark/>
          </w:tcPr>
          <w:p w14:paraId="31D368A3" w14:textId="77777777" w:rsidR="005D6ECD" w:rsidRPr="005D6ECD" w:rsidRDefault="005D6ECD" w:rsidP="005D6ECD">
            <w:pPr>
              <w:spacing w:after="0"/>
              <w:rPr>
                <w:rFonts w:cs="Arial"/>
                <w:i/>
                <w:iCs/>
                <w:color w:val="auto"/>
                <w:sz w:val="20"/>
                <w:szCs w:val="20"/>
              </w:rPr>
            </w:pPr>
            <w:r w:rsidRPr="005D6ECD">
              <w:rPr>
                <w:rFonts w:cs="Arial"/>
                <w:i/>
                <w:iCs/>
                <w:color w:val="auto"/>
                <w:sz w:val="20"/>
                <w:szCs w:val="20"/>
              </w:rPr>
              <w:t>Pre-tenancy training course - Connection</w:t>
            </w:r>
          </w:p>
        </w:tc>
        <w:tc>
          <w:tcPr>
            <w:tcW w:w="1320" w:type="dxa"/>
            <w:tcBorders>
              <w:top w:val="nil"/>
              <w:left w:val="nil"/>
              <w:bottom w:val="single" w:sz="4" w:space="0" w:color="auto"/>
              <w:right w:val="single" w:sz="4" w:space="0" w:color="auto"/>
            </w:tcBorders>
            <w:shd w:val="clear" w:color="auto" w:fill="auto"/>
            <w:vAlign w:val="center"/>
            <w:hideMark/>
          </w:tcPr>
          <w:p w14:paraId="1661F0B6" w14:textId="77777777" w:rsidR="005D6ECD" w:rsidRPr="005D6ECD" w:rsidRDefault="005D6ECD" w:rsidP="005D6ECD">
            <w:pPr>
              <w:spacing w:after="0"/>
              <w:jc w:val="right"/>
              <w:rPr>
                <w:rFonts w:cs="Arial"/>
                <w:i/>
                <w:iCs/>
                <w:color w:val="auto"/>
                <w:sz w:val="20"/>
                <w:szCs w:val="20"/>
              </w:rPr>
            </w:pPr>
            <w:r w:rsidRPr="005D6ECD">
              <w:rPr>
                <w:rFonts w:cs="Arial"/>
                <w:i/>
                <w:iCs/>
                <w:color w:val="auto"/>
                <w:sz w:val="20"/>
                <w:szCs w:val="20"/>
              </w:rPr>
              <w:t>16,000</w:t>
            </w:r>
          </w:p>
        </w:tc>
        <w:tc>
          <w:tcPr>
            <w:tcW w:w="1280" w:type="dxa"/>
            <w:tcBorders>
              <w:top w:val="nil"/>
              <w:left w:val="nil"/>
              <w:bottom w:val="nil"/>
              <w:right w:val="single" w:sz="4" w:space="0" w:color="auto"/>
            </w:tcBorders>
            <w:shd w:val="clear" w:color="auto" w:fill="auto"/>
            <w:noWrap/>
            <w:vAlign w:val="center"/>
            <w:hideMark/>
          </w:tcPr>
          <w:p w14:paraId="465C3222" w14:textId="77777777" w:rsidR="005D6ECD" w:rsidRPr="005D6ECD" w:rsidRDefault="005D6ECD" w:rsidP="005D6ECD">
            <w:pPr>
              <w:spacing w:after="0"/>
              <w:jc w:val="right"/>
              <w:rPr>
                <w:rFonts w:cs="Arial"/>
                <w:color w:val="auto"/>
                <w:sz w:val="20"/>
                <w:szCs w:val="20"/>
              </w:rPr>
            </w:pPr>
            <w:r w:rsidRPr="005D6ECD">
              <w:rPr>
                <w:rFonts w:cs="Arial"/>
                <w:color w:val="auto"/>
                <w:sz w:val="20"/>
                <w:szCs w:val="20"/>
              </w:rPr>
              <w:t>0</w:t>
            </w:r>
          </w:p>
        </w:tc>
        <w:tc>
          <w:tcPr>
            <w:tcW w:w="1260" w:type="dxa"/>
            <w:tcBorders>
              <w:top w:val="nil"/>
              <w:left w:val="nil"/>
              <w:bottom w:val="single" w:sz="4" w:space="0" w:color="auto"/>
              <w:right w:val="single" w:sz="4" w:space="0" w:color="auto"/>
            </w:tcBorders>
            <w:shd w:val="clear" w:color="auto" w:fill="auto"/>
            <w:vAlign w:val="center"/>
            <w:hideMark/>
          </w:tcPr>
          <w:p w14:paraId="59FC2F25" w14:textId="77777777" w:rsidR="005D6ECD" w:rsidRPr="005D6ECD" w:rsidRDefault="005D6ECD" w:rsidP="005D6ECD">
            <w:pPr>
              <w:spacing w:after="0"/>
              <w:jc w:val="right"/>
              <w:rPr>
                <w:rFonts w:cs="Arial"/>
                <w:i/>
                <w:iCs/>
                <w:color w:val="auto"/>
                <w:sz w:val="20"/>
                <w:szCs w:val="20"/>
              </w:rPr>
            </w:pPr>
            <w:r w:rsidRPr="005D6ECD">
              <w:rPr>
                <w:rFonts w:cs="Arial"/>
                <w:i/>
                <w:iCs/>
                <w:color w:val="auto"/>
                <w:sz w:val="20"/>
                <w:szCs w:val="20"/>
              </w:rPr>
              <w:t>-16,000</w:t>
            </w:r>
          </w:p>
        </w:tc>
        <w:tc>
          <w:tcPr>
            <w:tcW w:w="5594" w:type="dxa"/>
            <w:tcBorders>
              <w:top w:val="nil"/>
              <w:left w:val="nil"/>
              <w:bottom w:val="single" w:sz="4" w:space="0" w:color="auto"/>
              <w:right w:val="single" w:sz="4" w:space="0" w:color="auto"/>
            </w:tcBorders>
            <w:shd w:val="clear" w:color="auto" w:fill="auto"/>
            <w:noWrap/>
            <w:vAlign w:val="center"/>
            <w:hideMark/>
          </w:tcPr>
          <w:p w14:paraId="3AA994C1" w14:textId="77777777" w:rsidR="005D6ECD" w:rsidRPr="005D6ECD" w:rsidRDefault="005D6ECD" w:rsidP="005D6ECD">
            <w:pPr>
              <w:spacing w:after="0"/>
              <w:rPr>
                <w:rFonts w:cs="Arial"/>
                <w:i/>
                <w:iCs/>
                <w:color w:val="auto"/>
                <w:sz w:val="20"/>
                <w:szCs w:val="20"/>
              </w:rPr>
            </w:pPr>
            <w:r w:rsidRPr="005D6ECD">
              <w:rPr>
                <w:rFonts w:cs="Arial"/>
                <w:i/>
                <w:iCs/>
                <w:color w:val="auto"/>
                <w:sz w:val="20"/>
                <w:szCs w:val="20"/>
              </w:rPr>
              <w:t>To be funded from Flexible Homelessness Grant</w:t>
            </w:r>
          </w:p>
        </w:tc>
      </w:tr>
      <w:tr w:rsidR="005D6ECD" w:rsidRPr="005D6ECD" w14:paraId="0D3FB1D6" w14:textId="77777777" w:rsidTr="001E11DA">
        <w:trPr>
          <w:trHeight w:val="260"/>
        </w:trPr>
        <w:tc>
          <w:tcPr>
            <w:tcW w:w="4580" w:type="dxa"/>
            <w:tcBorders>
              <w:top w:val="nil"/>
              <w:left w:val="single" w:sz="4" w:space="0" w:color="auto"/>
              <w:bottom w:val="single" w:sz="4" w:space="0" w:color="auto"/>
              <w:right w:val="single" w:sz="4" w:space="0" w:color="auto"/>
            </w:tcBorders>
            <w:shd w:val="clear" w:color="auto" w:fill="auto"/>
            <w:vAlign w:val="center"/>
            <w:hideMark/>
          </w:tcPr>
          <w:p w14:paraId="58EE53DB" w14:textId="77777777" w:rsidR="005D6ECD" w:rsidRPr="005D6ECD" w:rsidRDefault="005D6ECD" w:rsidP="005D6ECD">
            <w:pPr>
              <w:spacing w:after="0"/>
              <w:rPr>
                <w:rFonts w:cs="Arial"/>
                <w:color w:val="auto"/>
                <w:sz w:val="20"/>
                <w:szCs w:val="20"/>
              </w:rPr>
            </w:pPr>
            <w:r w:rsidRPr="005D6ECD">
              <w:rPr>
                <w:rFonts w:cs="Arial"/>
                <w:color w:val="auto"/>
                <w:sz w:val="20"/>
                <w:szCs w:val="20"/>
              </w:rPr>
              <w:t>Welfare Reform Outreach Team</w:t>
            </w:r>
          </w:p>
        </w:tc>
        <w:tc>
          <w:tcPr>
            <w:tcW w:w="1320" w:type="dxa"/>
            <w:tcBorders>
              <w:top w:val="nil"/>
              <w:left w:val="nil"/>
              <w:bottom w:val="single" w:sz="4" w:space="0" w:color="auto"/>
              <w:right w:val="single" w:sz="4" w:space="0" w:color="auto"/>
            </w:tcBorders>
            <w:shd w:val="clear" w:color="auto" w:fill="auto"/>
            <w:noWrap/>
            <w:vAlign w:val="center"/>
            <w:hideMark/>
          </w:tcPr>
          <w:p w14:paraId="4A13E20F" w14:textId="77777777" w:rsidR="005D6ECD" w:rsidRPr="005D6ECD" w:rsidRDefault="005D6ECD" w:rsidP="005D6ECD">
            <w:pPr>
              <w:spacing w:after="0"/>
              <w:jc w:val="right"/>
              <w:rPr>
                <w:rFonts w:cs="Arial"/>
                <w:color w:val="auto"/>
                <w:sz w:val="20"/>
                <w:szCs w:val="20"/>
              </w:rPr>
            </w:pPr>
            <w:r w:rsidRPr="005D6ECD">
              <w:rPr>
                <w:rFonts w:cs="Arial"/>
                <w:color w:val="auto"/>
                <w:sz w:val="20"/>
                <w:szCs w:val="20"/>
              </w:rPr>
              <w:t>82,000</w:t>
            </w:r>
          </w:p>
        </w:tc>
        <w:tc>
          <w:tcPr>
            <w:tcW w:w="1280" w:type="dxa"/>
            <w:tcBorders>
              <w:top w:val="single" w:sz="4" w:space="0" w:color="auto"/>
              <w:left w:val="nil"/>
              <w:bottom w:val="nil"/>
              <w:right w:val="single" w:sz="4" w:space="0" w:color="auto"/>
            </w:tcBorders>
            <w:shd w:val="clear" w:color="auto" w:fill="auto"/>
            <w:noWrap/>
            <w:vAlign w:val="center"/>
            <w:hideMark/>
          </w:tcPr>
          <w:p w14:paraId="77D429B2" w14:textId="77777777" w:rsidR="005D6ECD" w:rsidRPr="005D6ECD" w:rsidRDefault="005D6ECD" w:rsidP="005D6ECD">
            <w:pPr>
              <w:spacing w:after="0"/>
              <w:jc w:val="right"/>
              <w:rPr>
                <w:rFonts w:cs="Arial"/>
                <w:color w:val="auto"/>
                <w:sz w:val="20"/>
                <w:szCs w:val="20"/>
              </w:rPr>
            </w:pPr>
            <w:r w:rsidRPr="005D6ECD">
              <w:rPr>
                <w:rFonts w:cs="Arial"/>
                <w:color w:val="auto"/>
                <w:sz w:val="20"/>
                <w:szCs w:val="20"/>
              </w:rPr>
              <w:t>83,379</w:t>
            </w:r>
          </w:p>
        </w:tc>
        <w:tc>
          <w:tcPr>
            <w:tcW w:w="1260" w:type="dxa"/>
            <w:tcBorders>
              <w:top w:val="nil"/>
              <w:left w:val="nil"/>
              <w:bottom w:val="single" w:sz="4" w:space="0" w:color="auto"/>
              <w:right w:val="single" w:sz="4" w:space="0" w:color="auto"/>
            </w:tcBorders>
            <w:shd w:val="clear" w:color="auto" w:fill="auto"/>
            <w:vAlign w:val="center"/>
            <w:hideMark/>
          </w:tcPr>
          <w:p w14:paraId="2150801C" w14:textId="77777777" w:rsidR="005D6ECD" w:rsidRPr="005D6ECD" w:rsidRDefault="005D6ECD" w:rsidP="005D6ECD">
            <w:pPr>
              <w:spacing w:after="0"/>
              <w:jc w:val="right"/>
              <w:rPr>
                <w:rFonts w:cs="Arial"/>
                <w:color w:val="auto"/>
                <w:sz w:val="20"/>
                <w:szCs w:val="20"/>
              </w:rPr>
            </w:pPr>
            <w:r w:rsidRPr="005D6ECD">
              <w:rPr>
                <w:rFonts w:cs="Arial"/>
                <w:color w:val="auto"/>
                <w:sz w:val="20"/>
                <w:szCs w:val="20"/>
              </w:rPr>
              <w:t>1,379</w:t>
            </w:r>
          </w:p>
        </w:tc>
        <w:tc>
          <w:tcPr>
            <w:tcW w:w="5594" w:type="dxa"/>
            <w:tcBorders>
              <w:top w:val="nil"/>
              <w:left w:val="nil"/>
              <w:bottom w:val="single" w:sz="4" w:space="0" w:color="auto"/>
              <w:right w:val="single" w:sz="4" w:space="0" w:color="auto"/>
            </w:tcBorders>
            <w:shd w:val="clear" w:color="auto" w:fill="auto"/>
            <w:noWrap/>
            <w:vAlign w:val="center"/>
            <w:hideMark/>
          </w:tcPr>
          <w:p w14:paraId="284F821F" w14:textId="77777777" w:rsidR="005D6ECD" w:rsidRPr="005D6ECD" w:rsidRDefault="005D6ECD" w:rsidP="005D6ECD">
            <w:pPr>
              <w:spacing w:after="0"/>
              <w:rPr>
                <w:rFonts w:cs="Arial"/>
                <w:color w:val="auto"/>
                <w:sz w:val="20"/>
                <w:szCs w:val="20"/>
              </w:rPr>
            </w:pPr>
            <w:r w:rsidRPr="005D6ECD">
              <w:rPr>
                <w:rFonts w:cs="Arial"/>
                <w:color w:val="auto"/>
                <w:sz w:val="20"/>
                <w:szCs w:val="20"/>
              </w:rPr>
              <w:t>Pay inflation is cause of increase</w:t>
            </w:r>
          </w:p>
        </w:tc>
      </w:tr>
      <w:tr w:rsidR="005D6ECD" w:rsidRPr="005D6ECD" w14:paraId="7D166CCD" w14:textId="77777777" w:rsidTr="001E11DA">
        <w:trPr>
          <w:trHeight w:val="260"/>
        </w:trPr>
        <w:tc>
          <w:tcPr>
            <w:tcW w:w="4580" w:type="dxa"/>
            <w:tcBorders>
              <w:top w:val="nil"/>
              <w:left w:val="single" w:sz="4" w:space="0" w:color="auto"/>
              <w:bottom w:val="single" w:sz="4" w:space="0" w:color="auto"/>
              <w:right w:val="single" w:sz="4" w:space="0" w:color="auto"/>
            </w:tcBorders>
            <w:shd w:val="clear" w:color="auto" w:fill="auto"/>
            <w:vAlign w:val="center"/>
            <w:hideMark/>
          </w:tcPr>
          <w:p w14:paraId="5F9618A9" w14:textId="77777777" w:rsidR="005D6ECD" w:rsidRPr="005D6ECD" w:rsidRDefault="005D6ECD" w:rsidP="005D6ECD">
            <w:pPr>
              <w:spacing w:after="0"/>
              <w:rPr>
                <w:rFonts w:cs="Arial"/>
                <w:i/>
                <w:iCs/>
                <w:color w:val="auto"/>
                <w:sz w:val="20"/>
                <w:szCs w:val="20"/>
              </w:rPr>
            </w:pPr>
            <w:r w:rsidRPr="005D6ECD">
              <w:rPr>
                <w:rFonts w:cs="Arial"/>
                <w:i/>
                <w:iCs/>
                <w:color w:val="auto"/>
                <w:sz w:val="20"/>
                <w:szCs w:val="20"/>
              </w:rPr>
              <w:t>Target Hardening/Sanctuary Scheme</w:t>
            </w:r>
          </w:p>
        </w:tc>
        <w:tc>
          <w:tcPr>
            <w:tcW w:w="1320" w:type="dxa"/>
            <w:tcBorders>
              <w:top w:val="nil"/>
              <w:left w:val="nil"/>
              <w:bottom w:val="single" w:sz="4" w:space="0" w:color="auto"/>
              <w:right w:val="single" w:sz="4" w:space="0" w:color="auto"/>
            </w:tcBorders>
            <w:shd w:val="clear" w:color="auto" w:fill="auto"/>
            <w:vAlign w:val="center"/>
            <w:hideMark/>
          </w:tcPr>
          <w:p w14:paraId="1C3CF4E5" w14:textId="77777777" w:rsidR="005D6ECD" w:rsidRPr="005D6ECD" w:rsidRDefault="005D6ECD" w:rsidP="005D6ECD">
            <w:pPr>
              <w:spacing w:after="0"/>
              <w:jc w:val="right"/>
              <w:rPr>
                <w:rFonts w:cs="Arial"/>
                <w:i/>
                <w:iCs/>
                <w:color w:val="auto"/>
                <w:sz w:val="20"/>
                <w:szCs w:val="20"/>
              </w:rPr>
            </w:pPr>
            <w:r w:rsidRPr="005D6ECD">
              <w:rPr>
                <w:rFonts w:cs="Arial"/>
                <w:i/>
                <w:iCs/>
                <w:color w:val="auto"/>
                <w:sz w:val="20"/>
                <w:szCs w:val="20"/>
              </w:rPr>
              <w:t>30,000</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14:paraId="698BC570" w14:textId="77777777" w:rsidR="005D6ECD" w:rsidRPr="005D6ECD" w:rsidRDefault="005D6ECD" w:rsidP="005D6ECD">
            <w:pPr>
              <w:spacing w:after="0"/>
              <w:jc w:val="right"/>
              <w:rPr>
                <w:rFonts w:cs="Arial"/>
                <w:i/>
                <w:iCs/>
                <w:color w:val="auto"/>
                <w:sz w:val="20"/>
                <w:szCs w:val="20"/>
              </w:rPr>
            </w:pPr>
            <w:r w:rsidRPr="005D6ECD">
              <w:rPr>
                <w:rFonts w:cs="Arial"/>
                <w:i/>
                <w:iCs/>
                <w:color w:val="auto"/>
                <w:sz w:val="20"/>
                <w:szCs w:val="20"/>
              </w:rPr>
              <w:t>0</w:t>
            </w:r>
          </w:p>
        </w:tc>
        <w:tc>
          <w:tcPr>
            <w:tcW w:w="1260" w:type="dxa"/>
            <w:tcBorders>
              <w:top w:val="nil"/>
              <w:left w:val="nil"/>
              <w:bottom w:val="single" w:sz="4" w:space="0" w:color="auto"/>
              <w:right w:val="single" w:sz="4" w:space="0" w:color="auto"/>
            </w:tcBorders>
            <w:shd w:val="clear" w:color="auto" w:fill="auto"/>
            <w:vAlign w:val="center"/>
            <w:hideMark/>
          </w:tcPr>
          <w:p w14:paraId="32224822" w14:textId="77777777" w:rsidR="005D6ECD" w:rsidRPr="005D6ECD" w:rsidRDefault="005D6ECD" w:rsidP="005D6ECD">
            <w:pPr>
              <w:spacing w:after="0"/>
              <w:jc w:val="right"/>
              <w:rPr>
                <w:rFonts w:cs="Arial"/>
                <w:i/>
                <w:iCs/>
                <w:color w:val="auto"/>
                <w:sz w:val="20"/>
                <w:szCs w:val="20"/>
              </w:rPr>
            </w:pPr>
            <w:r w:rsidRPr="005D6ECD">
              <w:rPr>
                <w:rFonts w:cs="Arial"/>
                <w:i/>
                <w:iCs/>
                <w:color w:val="auto"/>
                <w:sz w:val="20"/>
                <w:szCs w:val="20"/>
              </w:rPr>
              <w:t>-30,000</w:t>
            </w:r>
          </w:p>
        </w:tc>
        <w:tc>
          <w:tcPr>
            <w:tcW w:w="5594" w:type="dxa"/>
            <w:tcBorders>
              <w:top w:val="nil"/>
              <w:left w:val="nil"/>
              <w:bottom w:val="single" w:sz="4" w:space="0" w:color="auto"/>
              <w:right w:val="single" w:sz="4" w:space="0" w:color="auto"/>
            </w:tcBorders>
            <w:shd w:val="clear" w:color="auto" w:fill="auto"/>
            <w:noWrap/>
            <w:vAlign w:val="center"/>
            <w:hideMark/>
          </w:tcPr>
          <w:p w14:paraId="68361026" w14:textId="77777777" w:rsidR="005D6ECD" w:rsidRPr="005D6ECD" w:rsidRDefault="005D6ECD" w:rsidP="005D6ECD">
            <w:pPr>
              <w:spacing w:after="0"/>
              <w:rPr>
                <w:rFonts w:cs="Arial"/>
                <w:i/>
                <w:iCs/>
                <w:color w:val="auto"/>
                <w:sz w:val="20"/>
                <w:szCs w:val="20"/>
              </w:rPr>
            </w:pPr>
            <w:r w:rsidRPr="005D6ECD">
              <w:rPr>
                <w:rFonts w:cs="Arial"/>
                <w:i/>
                <w:iCs/>
                <w:color w:val="auto"/>
                <w:sz w:val="20"/>
                <w:szCs w:val="20"/>
              </w:rPr>
              <w:t>To be funded from Flexible Homelessness Grant</w:t>
            </w:r>
          </w:p>
        </w:tc>
      </w:tr>
      <w:tr w:rsidR="005D6ECD" w:rsidRPr="005D6ECD" w14:paraId="4664A5F8" w14:textId="77777777" w:rsidTr="001E11DA">
        <w:trPr>
          <w:trHeight w:val="260"/>
        </w:trPr>
        <w:tc>
          <w:tcPr>
            <w:tcW w:w="4580" w:type="dxa"/>
            <w:tcBorders>
              <w:top w:val="nil"/>
              <w:left w:val="single" w:sz="4" w:space="0" w:color="auto"/>
              <w:bottom w:val="single" w:sz="4" w:space="0" w:color="auto"/>
              <w:right w:val="single" w:sz="4" w:space="0" w:color="auto"/>
            </w:tcBorders>
            <w:shd w:val="clear" w:color="000000" w:fill="B7DEE8"/>
            <w:vAlign w:val="center"/>
            <w:hideMark/>
          </w:tcPr>
          <w:p w14:paraId="6058DCFF" w14:textId="77777777" w:rsidR="005D6ECD" w:rsidRPr="005D6ECD" w:rsidRDefault="005D6ECD" w:rsidP="005D6ECD">
            <w:pPr>
              <w:spacing w:after="0"/>
              <w:jc w:val="center"/>
              <w:rPr>
                <w:rFonts w:cs="Arial"/>
                <w:b/>
                <w:bCs/>
                <w:color w:val="auto"/>
                <w:sz w:val="20"/>
                <w:szCs w:val="20"/>
              </w:rPr>
            </w:pPr>
            <w:r w:rsidRPr="005D6ECD">
              <w:rPr>
                <w:rFonts w:cs="Arial"/>
                <w:b/>
                <w:bCs/>
                <w:color w:val="auto"/>
                <w:sz w:val="20"/>
                <w:szCs w:val="20"/>
              </w:rPr>
              <w:t xml:space="preserve">Positive activities &amp; tackling </w:t>
            </w:r>
            <w:proofErr w:type="spellStart"/>
            <w:r w:rsidRPr="005D6ECD">
              <w:rPr>
                <w:rFonts w:cs="Arial"/>
                <w:b/>
                <w:bCs/>
                <w:color w:val="auto"/>
                <w:sz w:val="20"/>
                <w:szCs w:val="20"/>
              </w:rPr>
              <w:t>worklessness</w:t>
            </w:r>
            <w:proofErr w:type="spellEnd"/>
          </w:p>
        </w:tc>
        <w:tc>
          <w:tcPr>
            <w:tcW w:w="1320" w:type="dxa"/>
            <w:tcBorders>
              <w:top w:val="nil"/>
              <w:left w:val="nil"/>
              <w:bottom w:val="single" w:sz="4" w:space="0" w:color="auto"/>
              <w:right w:val="single" w:sz="4" w:space="0" w:color="auto"/>
            </w:tcBorders>
            <w:shd w:val="clear" w:color="000000" w:fill="B7DEE8"/>
            <w:noWrap/>
            <w:vAlign w:val="center"/>
            <w:hideMark/>
          </w:tcPr>
          <w:p w14:paraId="4C230B76" w14:textId="77777777" w:rsidR="005D6ECD" w:rsidRPr="005D6ECD" w:rsidRDefault="005D6ECD" w:rsidP="005D6ECD">
            <w:pPr>
              <w:spacing w:after="0"/>
              <w:jc w:val="right"/>
              <w:rPr>
                <w:rFonts w:cs="Arial"/>
                <w:b/>
                <w:bCs/>
                <w:color w:val="FF0000"/>
                <w:sz w:val="20"/>
                <w:szCs w:val="20"/>
              </w:rPr>
            </w:pPr>
            <w:r w:rsidRPr="001E11DA">
              <w:rPr>
                <w:rFonts w:cs="Arial"/>
                <w:b/>
                <w:bCs/>
                <w:color w:val="auto"/>
                <w:sz w:val="20"/>
                <w:szCs w:val="20"/>
              </w:rPr>
              <w:t>229,106</w:t>
            </w:r>
          </w:p>
        </w:tc>
        <w:tc>
          <w:tcPr>
            <w:tcW w:w="1280" w:type="dxa"/>
            <w:tcBorders>
              <w:top w:val="nil"/>
              <w:left w:val="nil"/>
              <w:bottom w:val="single" w:sz="4" w:space="0" w:color="auto"/>
              <w:right w:val="single" w:sz="4" w:space="0" w:color="auto"/>
            </w:tcBorders>
            <w:shd w:val="clear" w:color="000000" w:fill="B7DEE8"/>
            <w:noWrap/>
            <w:vAlign w:val="center"/>
            <w:hideMark/>
          </w:tcPr>
          <w:p w14:paraId="777B8C20" w14:textId="77777777" w:rsidR="005D6ECD" w:rsidRPr="005D6ECD" w:rsidRDefault="005D6ECD" w:rsidP="005D6ECD">
            <w:pPr>
              <w:spacing w:after="0"/>
              <w:jc w:val="right"/>
              <w:rPr>
                <w:rFonts w:cs="Arial"/>
                <w:b/>
                <w:bCs/>
                <w:color w:val="auto"/>
                <w:sz w:val="20"/>
                <w:szCs w:val="20"/>
              </w:rPr>
            </w:pPr>
            <w:r w:rsidRPr="005D6ECD">
              <w:rPr>
                <w:rFonts w:cs="Arial"/>
                <w:b/>
                <w:bCs/>
                <w:color w:val="auto"/>
                <w:sz w:val="20"/>
                <w:szCs w:val="20"/>
              </w:rPr>
              <w:t>220,981</w:t>
            </w:r>
          </w:p>
        </w:tc>
        <w:tc>
          <w:tcPr>
            <w:tcW w:w="1260" w:type="dxa"/>
            <w:tcBorders>
              <w:top w:val="nil"/>
              <w:left w:val="nil"/>
              <w:bottom w:val="single" w:sz="4" w:space="0" w:color="auto"/>
              <w:right w:val="single" w:sz="4" w:space="0" w:color="auto"/>
            </w:tcBorders>
            <w:shd w:val="clear" w:color="000000" w:fill="B7DEE8"/>
            <w:noWrap/>
            <w:vAlign w:val="center"/>
            <w:hideMark/>
          </w:tcPr>
          <w:p w14:paraId="59BB94CB" w14:textId="77777777" w:rsidR="005D6ECD" w:rsidRPr="005D6ECD" w:rsidRDefault="005D6ECD" w:rsidP="005D6ECD">
            <w:pPr>
              <w:spacing w:after="0"/>
              <w:jc w:val="right"/>
              <w:rPr>
                <w:rFonts w:cs="Arial"/>
                <w:b/>
                <w:bCs/>
                <w:color w:val="auto"/>
                <w:sz w:val="20"/>
                <w:szCs w:val="20"/>
              </w:rPr>
            </w:pPr>
            <w:r w:rsidRPr="005D6ECD">
              <w:rPr>
                <w:rFonts w:cs="Arial"/>
                <w:b/>
                <w:bCs/>
                <w:color w:val="auto"/>
                <w:sz w:val="20"/>
                <w:szCs w:val="20"/>
              </w:rPr>
              <w:t>-8,125</w:t>
            </w:r>
          </w:p>
        </w:tc>
        <w:tc>
          <w:tcPr>
            <w:tcW w:w="5594" w:type="dxa"/>
            <w:tcBorders>
              <w:top w:val="nil"/>
              <w:left w:val="nil"/>
              <w:bottom w:val="single" w:sz="4" w:space="0" w:color="auto"/>
              <w:right w:val="single" w:sz="4" w:space="0" w:color="auto"/>
            </w:tcBorders>
            <w:shd w:val="clear" w:color="000000" w:fill="B7DEE8"/>
            <w:vAlign w:val="center"/>
            <w:hideMark/>
          </w:tcPr>
          <w:p w14:paraId="0C48229D" w14:textId="77777777" w:rsidR="005D6ECD" w:rsidRPr="005D6ECD" w:rsidRDefault="005D6ECD" w:rsidP="005D6ECD">
            <w:pPr>
              <w:spacing w:after="0"/>
              <w:jc w:val="center"/>
              <w:rPr>
                <w:rFonts w:cs="Arial"/>
                <w:color w:val="auto"/>
                <w:sz w:val="20"/>
                <w:szCs w:val="20"/>
              </w:rPr>
            </w:pPr>
            <w:r w:rsidRPr="005D6ECD">
              <w:rPr>
                <w:rFonts w:cs="Arial"/>
                <w:color w:val="auto"/>
                <w:sz w:val="20"/>
                <w:szCs w:val="20"/>
              </w:rPr>
              <w:t> </w:t>
            </w:r>
          </w:p>
        </w:tc>
      </w:tr>
      <w:tr w:rsidR="005D6ECD" w:rsidRPr="005D6ECD" w14:paraId="5641DD07" w14:textId="77777777" w:rsidTr="001E11DA">
        <w:trPr>
          <w:trHeight w:val="260"/>
        </w:trPr>
        <w:tc>
          <w:tcPr>
            <w:tcW w:w="4580" w:type="dxa"/>
            <w:tcBorders>
              <w:top w:val="nil"/>
              <w:left w:val="single" w:sz="4" w:space="0" w:color="auto"/>
              <w:bottom w:val="single" w:sz="4" w:space="0" w:color="auto"/>
              <w:right w:val="single" w:sz="4" w:space="0" w:color="auto"/>
            </w:tcBorders>
            <w:shd w:val="clear" w:color="auto" w:fill="auto"/>
            <w:vAlign w:val="center"/>
            <w:hideMark/>
          </w:tcPr>
          <w:p w14:paraId="1E3FF922" w14:textId="77777777" w:rsidR="005D6ECD" w:rsidRPr="005D6ECD" w:rsidRDefault="005D6ECD" w:rsidP="005D6ECD">
            <w:pPr>
              <w:spacing w:after="0"/>
              <w:rPr>
                <w:rFonts w:cs="Arial"/>
                <w:color w:val="auto"/>
                <w:sz w:val="20"/>
                <w:szCs w:val="20"/>
              </w:rPr>
            </w:pPr>
            <w:r w:rsidRPr="005D6ECD">
              <w:rPr>
                <w:rFonts w:cs="Arial"/>
                <w:color w:val="auto"/>
                <w:sz w:val="20"/>
                <w:szCs w:val="20"/>
              </w:rPr>
              <w:t>Day Centre Provision (currently at OHH)</w:t>
            </w:r>
          </w:p>
        </w:tc>
        <w:tc>
          <w:tcPr>
            <w:tcW w:w="1320" w:type="dxa"/>
            <w:tcBorders>
              <w:top w:val="nil"/>
              <w:left w:val="nil"/>
              <w:bottom w:val="single" w:sz="4" w:space="0" w:color="auto"/>
              <w:right w:val="single" w:sz="4" w:space="0" w:color="auto"/>
            </w:tcBorders>
            <w:shd w:val="clear" w:color="auto" w:fill="auto"/>
            <w:noWrap/>
            <w:vAlign w:val="center"/>
            <w:hideMark/>
          </w:tcPr>
          <w:p w14:paraId="17453F42" w14:textId="77777777" w:rsidR="005D6ECD" w:rsidRPr="005D6ECD" w:rsidRDefault="005D6ECD" w:rsidP="005D6ECD">
            <w:pPr>
              <w:spacing w:after="0"/>
              <w:jc w:val="right"/>
              <w:rPr>
                <w:rFonts w:cs="Arial"/>
                <w:color w:val="auto"/>
                <w:sz w:val="20"/>
                <w:szCs w:val="20"/>
              </w:rPr>
            </w:pPr>
            <w:r w:rsidRPr="005D6ECD">
              <w:rPr>
                <w:rFonts w:cs="Arial"/>
                <w:color w:val="auto"/>
                <w:sz w:val="20"/>
                <w:szCs w:val="20"/>
              </w:rPr>
              <w:t>82,778</w:t>
            </w:r>
          </w:p>
        </w:tc>
        <w:tc>
          <w:tcPr>
            <w:tcW w:w="1280" w:type="dxa"/>
            <w:tcBorders>
              <w:top w:val="nil"/>
              <w:left w:val="nil"/>
              <w:bottom w:val="single" w:sz="4" w:space="0" w:color="auto"/>
              <w:right w:val="single" w:sz="4" w:space="0" w:color="auto"/>
            </w:tcBorders>
            <w:shd w:val="clear" w:color="auto" w:fill="auto"/>
            <w:noWrap/>
            <w:vAlign w:val="center"/>
            <w:hideMark/>
          </w:tcPr>
          <w:p w14:paraId="56987967" w14:textId="77777777" w:rsidR="005D6ECD" w:rsidRPr="005D6ECD" w:rsidRDefault="005D6ECD" w:rsidP="005D6ECD">
            <w:pPr>
              <w:spacing w:after="0"/>
              <w:jc w:val="right"/>
              <w:rPr>
                <w:rFonts w:cs="Arial"/>
                <w:color w:val="auto"/>
                <w:sz w:val="20"/>
                <w:szCs w:val="20"/>
              </w:rPr>
            </w:pPr>
            <w:r w:rsidRPr="005D6ECD">
              <w:rPr>
                <w:rFonts w:cs="Arial"/>
                <w:color w:val="auto"/>
                <w:sz w:val="20"/>
                <w:szCs w:val="20"/>
              </w:rPr>
              <w:t>82,778</w:t>
            </w:r>
          </w:p>
        </w:tc>
        <w:tc>
          <w:tcPr>
            <w:tcW w:w="1260" w:type="dxa"/>
            <w:tcBorders>
              <w:top w:val="nil"/>
              <w:left w:val="nil"/>
              <w:bottom w:val="single" w:sz="4" w:space="0" w:color="auto"/>
              <w:right w:val="single" w:sz="4" w:space="0" w:color="auto"/>
            </w:tcBorders>
            <w:shd w:val="clear" w:color="auto" w:fill="auto"/>
            <w:noWrap/>
            <w:vAlign w:val="center"/>
            <w:hideMark/>
          </w:tcPr>
          <w:p w14:paraId="327647A0" w14:textId="77777777" w:rsidR="005D6ECD" w:rsidRPr="005D6ECD" w:rsidRDefault="005D6ECD" w:rsidP="005D6ECD">
            <w:pPr>
              <w:spacing w:after="0"/>
              <w:jc w:val="right"/>
              <w:rPr>
                <w:rFonts w:cs="Arial"/>
                <w:color w:val="auto"/>
                <w:sz w:val="20"/>
                <w:szCs w:val="20"/>
              </w:rPr>
            </w:pPr>
            <w:r w:rsidRPr="005D6ECD">
              <w:rPr>
                <w:rFonts w:cs="Arial"/>
                <w:color w:val="auto"/>
                <w:sz w:val="20"/>
                <w:szCs w:val="20"/>
              </w:rPr>
              <w:t>0</w:t>
            </w:r>
          </w:p>
        </w:tc>
        <w:tc>
          <w:tcPr>
            <w:tcW w:w="5594" w:type="dxa"/>
            <w:tcBorders>
              <w:top w:val="nil"/>
              <w:left w:val="nil"/>
              <w:bottom w:val="single" w:sz="4" w:space="0" w:color="auto"/>
              <w:right w:val="single" w:sz="4" w:space="0" w:color="auto"/>
            </w:tcBorders>
            <w:shd w:val="clear" w:color="auto" w:fill="auto"/>
            <w:vAlign w:val="center"/>
            <w:hideMark/>
          </w:tcPr>
          <w:p w14:paraId="7EA68B7B" w14:textId="77777777" w:rsidR="005D6ECD" w:rsidRPr="005D6ECD" w:rsidRDefault="005D6ECD" w:rsidP="005D6ECD">
            <w:pPr>
              <w:spacing w:after="0"/>
              <w:rPr>
                <w:rFonts w:cs="Arial"/>
                <w:color w:val="auto"/>
                <w:sz w:val="20"/>
                <w:szCs w:val="20"/>
              </w:rPr>
            </w:pPr>
            <w:r w:rsidRPr="005D6ECD">
              <w:rPr>
                <w:rFonts w:cs="Arial"/>
                <w:color w:val="auto"/>
                <w:sz w:val="20"/>
                <w:szCs w:val="20"/>
              </w:rPr>
              <w:t> </w:t>
            </w:r>
          </w:p>
        </w:tc>
      </w:tr>
      <w:tr w:rsidR="005D6ECD" w:rsidRPr="005D6ECD" w14:paraId="080A567A" w14:textId="77777777" w:rsidTr="001E11DA">
        <w:trPr>
          <w:trHeight w:val="260"/>
        </w:trPr>
        <w:tc>
          <w:tcPr>
            <w:tcW w:w="4580" w:type="dxa"/>
            <w:tcBorders>
              <w:top w:val="nil"/>
              <w:left w:val="single" w:sz="4" w:space="0" w:color="auto"/>
              <w:bottom w:val="single" w:sz="4" w:space="0" w:color="auto"/>
              <w:right w:val="single" w:sz="4" w:space="0" w:color="auto"/>
            </w:tcBorders>
            <w:shd w:val="clear" w:color="auto" w:fill="auto"/>
            <w:vAlign w:val="center"/>
            <w:hideMark/>
          </w:tcPr>
          <w:p w14:paraId="37C92C63" w14:textId="77777777" w:rsidR="005D6ECD" w:rsidRPr="005D6ECD" w:rsidRDefault="005D6ECD" w:rsidP="005D6ECD">
            <w:pPr>
              <w:spacing w:after="0"/>
              <w:rPr>
                <w:rFonts w:cs="Arial"/>
                <w:color w:val="auto"/>
                <w:sz w:val="20"/>
                <w:szCs w:val="20"/>
              </w:rPr>
            </w:pPr>
            <w:r w:rsidRPr="005D6ECD">
              <w:rPr>
                <w:rFonts w:cs="Arial"/>
                <w:color w:val="auto"/>
                <w:sz w:val="20"/>
                <w:szCs w:val="20"/>
              </w:rPr>
              <w:t>Gatehouse Café</w:t>
            </w:r>
          </w:p>
        </w:tc>
        <w:tc>
          <w:tcPr>
            <w:tcW w:w="1320" w:type="dxa"/>
            <w:tcBorders>
              <w:top w:val="nil"/>
              <w:left w:val="nil"/>
              <w:bottom w:val="single" w:sz="4" w:space="0" w:color="auto"/>
              <w:right w:val="single" w:sz="4" w:space="0" w:color="auto"/>
            </w:tcBorders>
            <w:shd w:val="clear" w:color="auto" w:fill="auto"/>
            <w:vAlign w:val="center"/>
            <w:hideMark/>
          </w:tcPr>
          <w:p w14:paraId="3BB89972" w14:textId="77777777" w:rsidR="005D6ECD" w:rsidRPr="005D6ECD" w:rsidRDefault="005D6ECD" w:rsidP="005D6ECD">
            <w:pPr>
              <w:spacing w:after="0"/>
              <w:jc w:val="right"/>
              <w:rPr>
                <w:rFonts w:cs="Arial"/>
                <w:color w:val="auto"/>
                <w:sz w:val="20"/>
                <w:szCs w:val="20"/>
              </w:rPr>
            </w:pPr>
            <w:r w:rsidRPr="005D6ECD">
              <w:rPr>
                <w:rFonts w:cs="Arial"/>
                <w:color w:val="auto"/>
                <w:sz w:val="20"/>
                <w:szCs w:val="20"/>
              </w:rPr>
              <w:t>5,580</w:t>
            </w:r>
          </w:p>
        </w:tc>
        <w:tc>
          <w:tcPr>
            <w:tcW w:w="1280" w:type="dxa"/>
            <w:tcBorders>
              <w:top w:val="nil"/>
              <w:left w:val="nil"/>
              <w:bottom w:val="single" w:sz="4" w:space="0" w:color="auto"/>
              <w:right w:val="single" w:sz="4" w:space="0" w:color="auto"/>
            </w:tcBorders>
            <w:shd w:val="clear" w:color="auto" w:fill="auto"/>
            <w:noWrap/>
            <w:vAlign w:val="center"/>
            <w:hideMark/>
          </w:tcPr>
          <w:p w14:paraId="33E38F32" w14:textId="77777777" w:rsidR="005D6ECD" w:rsidRPr="005D6ECD" w:rsidRDefault="005D6ECD" w:rsidP="005D6ECD">
            <w:pPr>
              <w:spacing w:after="0"/>
              <w:jc w:val="right"/>
              <w:rPr>
                <w:rFonts w:cs="Arial"/>
                <w:color w:val="auto"/>
                <w:sz w:val="20"/>
                <w:szCs w:val="20"/>
              </w:rPr>
            </w:pPr>
            <w:r w:rsidRPr="005D6ECD">
              <w:rPr>
                <w:rFonts w:cs="Arial"/>
                <w:color w:val="auto"/>
                <w:sz w:val="20"/>
                <w:szCs w:val="20"/>
              </w:rPr>
              <w:t>5,580</w:t>
            </w:r>
          </w:p>
        </w:tc>
        <w:tc>
          <w:tcPr>
            <w:tcW w:w="1260" w:type="dxa"/>
            <w:tcBorders>
              <w:top w:val="nil"/>
              <w:left w:val="nil"/>
              <w:bottom w:val="single" w:sz="4" w:space="0" w:color="auto"/>
              <w:right w:val="single" w:sz="4" w:space="0" w:color="auto"/>
            </w:tcBorders>
            <w:shd w:val="clear" w:color="auto" w:fill="auto"/>
            <w:noWrap/>
            <w:vAlign w:val="center"/>
            <w:hideMark/>
          </w:tcPr>
          <w:p w14:paraId="3BF93067" w14:textId="77777777" w:rsidR="005D6ECD" w:rsidRPr="005D6ECD" w:rsidRDefault="005D6ECD" w:rsidP="005D6ECD">
            <w:pPr>
              <w:spacing w:after="0"/>
              <w:jc w:val="right"/>
              <w:rPr>
                <w:rFonts w:cs="Arial"/>
                <w:color w:val="auto"/>
                <w:sz w:val="20"/>
                <w:szCs w:val="20"/>
              </w:rPr>
            </w:pPr>
            <w:r w:rsidRPr="005D6ECD">
              <w:rPr>
                <w:rFonts w:cs="Arial"/>
                <w:color w:val="auto"/>
                <w:sz w:val="20"/>
                <w:szCs w:val="20"/>
              </w:rPr>
              <w:t>0</w:t>
            </w:r>
          </w:p>
        </w:tc>
        <w:tc>
          <w:tcPr>
            <w:tcW w:w="5594" w:type="dxa"/>
            <w:tcBorders>
              <w:top w:val="nil"/>
              <w:left w:val="nil"/>
              <w:bottom w:val="single" w:sz="4" w:space="0" w:color="auto"/>
              <w:right w:val="single" w:sz="4" w:space="0" w:color="auto"/>
            </w:tcBorders>
            <w:shd w:val="clear" w:color="auto" w:fill="auto"/>
            <w:vAlign w:val="center"/>
            <w:hideMark/>
          </w:tcPr>
          <w:p w14:paraId="61C2C4F2" w14:textId="77777777" w:rsidR="005D6ECD" w:rsidRPr="005D6ECD" w:rsidRDefault="005D6ECD" w:rsidP="005D6ECD">
            <w:pPr>
              <w:spacing w:after="0"/>
              <w:rPr>
                <w:rFonts w:cs="Arial"/>
                <w:color w:val="auto"/>
                <w:sz w:val="20"/>
                <w:szCs w:val="20"/>
              </w:rPr>
            </w:pPr>
            <w:r w:rsidRPr="005D6ECD">
              <w:rPr>
                <w:rFonts w:cs="Arial"/>
                <w:color w:val="auto"/>
                <w:sz w:val="20"/>
                <w:szCs w:val="20"/>
              </w:rPr>
              <w:t> </w:t>
            </w:r>
          </w:p>
        </w:tc>
      </w:tr>
      <w:tr w:rsidR="005D6ECD" w:rsidRPr="005D6ECD" w14:paraId="66A21DD2" w14:textId="77777777" w:rsidTr="001E11DA">
        <w:trPr>
          <w:trHeight w:val="260"/>
        </w:trPr>
        <w:tc>
          <w:tcPr>
            <w:tcW w:w="4580" w:type="dxa"/>
            <w:tcBorders>
              <w:top w:val="nil"/>
              <w:left w:val="single" w:sz="4" w:space="0" w:color="auto"/>
              <w:bottom w:val="single" w:sz="4" w:space="0" w:color="auto"/>
              <w:right w:val="single" w:sz="4" w:space="0" w:color="auto"/>
            </w:tcBorders>
            <w:shd w:val="clear" w:color="auto" w:fill="auto"/>
            <w:vAlign w:val="center"/>
            <w:hideMark/>
          </w:tcPr>
          <w:p w14:paraId="0FA442A4" w14:textId="77777777" w:rsidR="005D6ECD" w:rsidRPr="005D6ECD" w:rsidRDefault="005D6ECD" w:rsidP="005D6ECD">
            <w:pPr>
              <w:spacing w:after="0"/>
              <w:rPr>
                <w:rFonts w:cs="Arial"/>
                <w:color w:val="auto"/>
                <w:sz w:val="20"/>
                <w:szCs w:val="20"/>
              </w:rPr>
            </w:pPr>
            <w:r w:rsidRPr="005D6ECD">
              <w:rPr>
                <w:rFonts w:cs="Arial"/>
                <w:color w:val="auto"/>
                <w:sz w:val="20"/>
                <w:szCs w:val="20"/>
              </w:rPr>
              <w:t>The Porch Day Centre</w:t>
            </w:r>
          </w:p>
        </w:tc>
        <w:tc>
          <w:tcPr>
            <w:tcW w:w="1320" w:type="dxa"/>
            <w:tcBorders>
              <w:top w:val="nil"/>
              <w:left w:val="nil"/>
              <w:bottom w:val="single" w:sz="4" w:space="0" w:color="auto"/>
              <w:right w:val="single" w:sz="4" w:space="0" w:color="auto"/>
            </w:tcBorders>
            <w:shd w:val="clear" w:color="auto" w:fill="auto"/>
            <w:vAlign w:val="center"/>
            <w:hideMark/>
          </w:tcPr>
          <w:p w14:paraId="2B9D4986" w14:textId="77777777" w:rsidR="005D6ECD" w:rsidRPr="005D6ECD" w:rsidRDefault="005D6ECD" w:rsidP="005D6ECD">
            <w:pPr>
              <w:spacing w:after="0"/>
              <w:jc w:val="right"/>
              <w:rPr>
                <w:rFonts w:cs="Arial"/>
                <w:color w:val="auto"/>
                <w:sz w:val="20"/>
                <w:szCs w:val="20"/>
              </w:rPr>
            </w:pPr>
            <w:r w:rsidRPr="005D6ECD">
              <w:rPr>
                <w:rFonts w:cs="Arial"/>
                <w:color w:val="auto"/>
                <w:sz w:val="20"/>
                <w:szCs w:val="20"/>
              </w:rPr>
              <w:t>55,000</w:t>
            </w:r>
          </w:p>
        </w:tc>
        <w:tc>
          <w:tcPr>
            <w:tcW w:w="1280" w:type="dxa"/>
            <w:tcBorders>
              <w:top w:val="nil"/>
              <w:left w:val="nil"/>
              <w:bottom w:val="single" w:sz="4" w:space="0" w:color="auto"/>
              <w:right w:val="single" w:sz="4" w:space="0" w:color="auto"/>
            </w:tcBorders>
            <w:shd w:val="clear" w:color="auto" w:fill="auto"/>
            <w:noWrap/>
            <w:vAlign w:val="center"/>
            <w:hideMark/>
          </w:tcPr>
          <w:p w14:paraId="4C1A5925" w14:textId="77777777" w:rsidR="005D6ECD" w:rsidRPr="005D6ECD" w:rsidRDefault="005D6ECD" w:rsidP="005D6ECD">
            <w:pPr>
              <w:spacing w:after="0"/>
              <w:jc w:val="right"/>
              <w:rPr>
                <w:rFonts w:cs="Arial"/>
                <w:color w:val="auto"/>
                <w:sz w:val="20"/>
                <w:szCs w:val="20"/>
              </w:rPr>
            </w:pPr>
            <w:r w:rsidRPr="005D6ECD">
              <w:rPr>
                <w:rFonts w:cs="Arial"/>
                <w:color w:val="auto"/>
                <w:sz w:val="20"/>
                <w:szCs w:val="20"/>
              </w:rPr>
              <w:t>55,000</w:t>
            </w:r>
          </w:p>
        </w:tc>
        <w:tc>
          <w:tcPr>
            <w:tcW w:w="1260" w:type="dxa"/>
            <w:tcBorders>
              <w:top w:val="nil"/>
              <w:left w:val="nil"/>
              <w:bottom w:val="single" w:sz="4" w:space="0" w:color="auto"/>
              <w:right w:val="single" w:sz="4" w:space="0" w:color="auto"/>
            </w:tcBorders>
            <w:shd w:val="clear" w:color="auto" w:fill="auto"/>
            <w:noWrap/>
            <w:vAlign w:val="center"/>
            <w:hideMark/>
          </w:tcPr>
          <w:p w14:paraId="29DAB483" w14:textId="77777777" w:rsidR="005D6ECD" w:rsidRPr="005D6ECD" w:rsidRDefault="005D6ECD" w:rsidP="005D6ECD">
            <w:pPr>
              <w:spacing w:after="0"/>
              <w:jc w:val="right"/>
              <w:rPr>
                <w:rFonts w:cs="Arial"/>
                <w:color w:val="auto"/>
                <w:sz w:val="20"/>
                <w:szCs w:val="20"/>
              </w:rPr>
            </w:pPr>
            <w:r w:rsidRPr="005D6ECD">
              <w:rPr>
                <w:rFonts w:cs="Arial"/>
                <w:color w:val="auto"/>
                <w:sz w:val="20"/>
                <w:szCs w:val="20"/>
              </w:rPr>
              <w:t>0</w:t>
            </w:r>
          </w:p>
        </w:tc>
        <w:tc>
          <w:tcPr>
            <w:tcW w:w="5594" w:type="dxa"/>
            <w:tcBorders>
              <w:top w:val="nil"/>
              <w:left w:val="nil"/>
              <w:bottom w:val="single" w:sz="4" w:space="0" w:color="auto"/>
              <w:right w:val="single" w:sz="4" w:space="0" w:color="auto"/>
            </w:tcBorders>
            <w:shd w:val="clear" w:color="auto" w:fill="auto"/>
            <w:vAlign w:val="center"/>
            <w:hideMark/>
          </w:tcPr>
          <w:p w14:paraId="464BD7C9" w14:textId="77777777" w:rsidR="005D6ECD" w:rsidRPr="005D6ECD" w:rsidRDefault="005D6ECD" w:rsidP="005D6ECD">
            <w:pPr>
              <w:spacing w:after="0"/>
              <w:rPr>
                <w:rFonts w:cs="Arial"/>
                <w:color w:val="auto"/>
                <w:sz w:val="20"/>
                <w:szCs w:val="20"/>
              </w:rPr>
            </w:pPr>
            <w:r w:rsidRPr="005D6ECD">
              <w:rPr>
                <w:rFonts w:cs="Arial"/>
                <w:color w:val="auto"/>
                <w:sz w:val="20"/>
                <w:szCs w:val="20"/>
              </w:rPr>
              <w:t> </w:t>
            </w:r>
          </w:p>
        </w:tc>
      </w:tr>
      <w:tr w:rsidR="005D6ECD" w:rsidRPr="005D6ECD" w14:paraId="69BC9791" w14:textId="77777777" w:rsidTr="001E11DA">
        <w:trPr>
          <w:trHeight w:val="260"/>
        </w:trPr>
        <w:tc>
          <w:tcPr>
            <w:tcW w:w="4580" w:type="dxa"/>
            <w:tcBorders>
              <w:top w:val="nil"/>
              <w:left w:val="single" w:sz="4" w:space="0" w:color="auto"/>
              <w:bottom w:val="single" w:sz="4" w:space="0" w:color="auto"/>
              <w:right w:val="single" w:sz="4" w:space="0" w:color="auto"/>
            </w:tcBorders>
            <w:shd w:val="clear" w:color="auto" w:fill="auto"/>
            <w:vAlign w:val="center"/>
            <w:hideMark/>
          </w:tcPr>
          <w:p w14:paraId="745EFF64" w14:textId="77777777" w:rsidR="005D6ECD" w:rsidRPr="005D6ECD" w:rsidRDefault="005D6ECD" w:rsidP="005D6ECD">
            <w:pPr>
              <w:spacing w:after="0"/>
              <w:rPr>
                <w:rFonts w:cs="Arial"/>
                <w:color w:val="auto"/>
                <w:sz w:val="20"/>
                <w:szCs w:val="20"/>
              </w:rPr>
            </w:pPr>
            <w:r w:rsidRPr="005D6ECD">
              <w:rPr>
                <w:rFonts w:cs="Arial"/>
                <w:color w:val="auto"/>
                <w:sz w:val="20"/>
                <w:szCs w:val="20"/>
              </w:rPr>
              <w:t xml:space="preserve">Aspire </w:t>
            </w:r>
          </w:p>
        </w:tc>
        <w:tc>
          <w:tcPr>
            <w:tcW w:w="1320" w:type="dxa"/>
            <w:tcBorders>
              <w:top w:val="nil"/>
              <w:left w:val="nil"/>
              <w:bottom w:val="single" w:sz="4" w:space="0" w:color="auto"/>
              <w:right w:val="single" w:sz="4" w:space="0" w:color="auto"/>
            </w:tcBorders>
            <w:shd w:val="clear" w:color="auto" w:fill="auto"/>
            <w:noWrap/>
            <w:vAlign w:val="center"/>
            <w:hideMark/>
          </w:tcPr>
          <w:p w14:paraId="7B789410" w14:textId="77777777" w:rsidR="005D6ECD" w:rsidRPr="005D6ECD" w:rsidRDefault="005D6ECD" w:rsidP="005D6ECD">
            <w:pPr>
              <w:spacing w:after="0"/>
              <w:jc w:val="right"/>
              <w:rPr>
                <w:rFonts w:cs="Arial"/>
                <w:color w:val="auto"/>
                <w:sz w:val="20"/>
                <w:szCs w:val="20"/>
              </w:rPr>
            </w:pPr>
            <w:r w:rsidRPr="005D6ECD">
              <w:rPr>
                <w:rFonts w:cs="Arial"/>
                <w:color w:val="auto"/>
                <w:sz w:val="20"/>
                <w:szCs w:val="20"/>
              </w:rPr>
              <w:t>77,623</w:t>
            </w:r>
          </w:p>
        </w:tc>
        <w:tc>
          <w:tcPr>
            <w:tcW w:w="1280" w:type="dxa"/>
            <w:tcBorders>
              <w:top w:val="nil"/>
              <w:left w:val="nil"/>
              <w:bottom w:val="single" w:sz="4" w:space="0" w:color="auto"/>
              <w:right w:val="single" w:sz="4" w:space="0" w:color="auto"/>
            </w:tcBorders>
            <w:shd w:val="clear" w:color="auto" w:fill="auto"/>
            <w:noWrap/>
            <w:vAlign w:val="center"/>
            <w:hideMark/>
          </w:tcPr>
          <w:p w14:paraId="5BD52A03" w14:textId="77777777" w:rsidR="005D6ECD" w:rsidRPr="005D6ECD" w:rsidRDefault="005D6ECD" w:rsidP="005D6ECD">
            <w:pPr>
              <w:spacing w:after="0"/>
              <w:jc w:val="right"/>
              <w:rPr>
                <w:rFonts w:cs="Arial"/>
                <w:color w:val="auto"/>
                <w:sz w:val="20"/>
                <w:szCs w:val="20"/>
              </w:rPr>
            </w:pPr>
            <w:r w:rsidRPr="005D6ECD">
              <w:rPr>
                <w:rFonts w:cs="Arial"/>
                <w:color w:val="auto"/>
                <w:sz w:val="20"/>
                <w:szCs w:val="20"/>
              </w:rPr>
              <w:t>77,623</w:t>
            </w:r>
          </w:p>
        </w:tc>
        <w:tc>
          <w:tcPr>
            <w:tcW w:w="1260" w:type="dxa"/>
            <w:tcBorders>
              <w:top w:val="nil"/>
              <w:left w:val="nil"/>
              <w:bottom w:val="single" w:sz="4" w:space="0" w:color="auto"/>
              <w:right w:val="single" w:sz="4" w:space="0" w:color="auto"/>
            </w:tcBorders>
            <w:shd w:val="clear" w:color="auto" w:fill="auto"/>
            <w:noWrap/>
            <w:vAlign w:val="center"/>
            <w:hideMark/>
          </w:tcPr>
          <w:p w14:paraId="1BB9AD34" w14:textId="77777777" w:rsidR="005D6ECD" w:rsidRPr="005D6ECD" w:rsidRDefault="005D6ECD" w:rsidP="005D6ECD">
            <w:pPr>
              <w:spacing w:after="0"/>
              <w:jc w:val="right"/>
              <w:rPr>
                <w:rFonts w:cs="Arial"/>
                <w:color w:val="auto"/>
                <w:sz w:val="20"/>
                <w:szCs w:val="20"/>
              </w:rPr>
            </w:pPr>
            <w:r w:rsidRPr="005D6ECD">
              <w:rPr>
                <w:rFonts w:cs="Arial"/>
                <w:color w:val="auto"/>
                <w:sz w:val="20"/>
                <w:szCs w:val="20"/>
              </w:rPr>
              <w:t>0</w:t>
            </w:r>
          </w:p>
        </w:tc>
        <w:tc>
          <w:tcPr>
            <w:tcW w:w="5594" w:type="dxa"/>
            <w:tcBorders>
              <w:top w:val="nil"/>
              <w:left w:val="nil"/>
              <w:bottom w:val="single" w:sz="4" w:space="0" w:color="auto"/>
              <w:right w:val="single" w:sz="4" w:space="0" w:color="auto"/>
            </w:tcBorders>
            <w:shd w:val="clear" w:color="auto" w:fill="auto"/>
            <w:vAlign w:val="center"/>
            <w:hideMark/>
          </w:tcPr>
          <w:p w14:paraId="3D365DE3" w14:textId="77777777" w:rsidR="005D6ECD" w:rsidRPr="005D6ECD" w:rsidRDefault="005D6ECD" w:rsidP="005D6ECD">
            <w:pPr>
              <w:spacing w:after="0"/>
              <w:rPr>
                <w:rFonts w:cs="Arial"/>
                <w:color w:val="auto"/>
                <w:sz w:val="20"/>
                <w:szCs w:val="20"/>
              </w:rPr>
            </w:pPr>
            <w:r w:rsidRPr="005D6ECD">
              <w:rPr>
                <w:rFonts w:cs="Arial"/>
                <w:color w:val="auto"/>
                <w:sz w:val="20"/>
                <w:szCs w:val="20"/>
              </w:rPr>
              <w:t> </w:t>
            </w:r>
          </w:p>
        </w:tc>
      </w:tr>
      <w:tr w:rsidR="005D6ECD" w:rsidRPr="005D6ECD" w14:paraId="1457A993" w14:textId="77777777" w:rsidTr="001E11DA">
        <w:trPr>
          <w:trHeight w:val="260"/>
        </w:trPr>
        <w:tc>
          <w:tcPr>
            <w:tcW w:w="4580" w:type="dxa"/>
            <w:tcBorders>
              <w:top w:val="nil"/>
              <w:left w:val="single" w:sz="4" w:space="0" w:color="auto"/>
              <w:bottom w:val="single" w:sz="4" w:space="0" w:color="auto"/>
              <w:right w:val="single" w:sz="4" w:space="0" w:color="auto"/>
            </w:tcBorders>
            <w:shd w:val="clear" w:color="auto" w:fill="auto"/>
            <w:vAlign w:val="center"/>
            <w:hideMark/>
          </w:tcPr>
          <w:p w14:paraId="030F882C" w14:textId="77777777" w:rsidR="005D6ECD" w:rsidRPr="005D6ECD" w:rsidRDefault="005D6ECD" w:rsidP="005D6ECD">
            <w:pPr>
              <w:spacing w:after="0"/>
              <w:rPr>
                <w:rFonts w:cs="Arial"/>
                <w:color w:val="auto"/>
                <w:sz w:val="20"/>
                <w:szCs w:val="20"/>
              </w:rPr>
            </w:pPr>
            <w:r w:rsidRPr="005D6ECD">
              <w:rPr>
                <w:rFonts w:cs="Arial"/>
                <w:color w:val="auto"/>
                <w:sz w:val="20"/>
                <w:szCs w:val="20"/>
              </w:rPr>
              <w:t>Emmaus</w:t>
            </w:r>
          </w:p>
        </w:tc>
        <w:tc>
          <w:tcPr>
            <w:tcW w:w="1320" w:type="dxa"/>
            <w:tcBorders>
              <w:top w:val="nil"/>
              <w:left w:val="nil"/>
              <w:bottom w:val="single" w:sz="4" w:space="0" w:color="auto"/>
              <w:right w:val="single" w:sz="4" w:space="0" w:color="auto"/>
            </w:tcBorders>
            <w:shd w:val="clear" w:color="auto" w:fill="auto"/>
            <w:noWrap/>
            <w:vAlign w:val="center"/>
            <w:hideMark/>
          </w:tcPr>
          <w:p w14:paraId="05E7A215" w14:textId="77777777" w:rsidR="005D6ECD" w:rsidRPr="005D6ECD" w:rsidRDefault="005D6ECD" w:rsidP="005D6ECD">
            <w:pPr>
              <w:spacing w:after="0"/>
              <w:jc w:val="right"/>
              <w:rPr>
                <w:rFonts w:cs="Arial"/>
                <w:color w:val="auto"/>
                <w:sz w:val="20"/>
                <w:szCs w:val="20"/>
              </w:rPr>
            </w:pPr>
            <w:r w:rsidRPr="005D6ECD">
              <w:rPr>
                <w:rFonts w:cs="Arial"/>
                <w:color w:val="auto"/>
                <w:sz w:val="20"/>
                <w:szCs w:val="20"/>
              </w:rPr>
              <w:t>5,000</w:t>
            </w:r>
          </w:p>
        </w:tc>
        <w:tc>
          <w:tcPr>
            <w:tcW w:w="1280" w:type="dxa"/>
            <w:tcBorders>
              <w:top w:val="nil"/>
              <w:left w:val="nil"/>
              <w:bottom w:val="single" w:sz="4" w:space="0" w:color="auto"/>
              <w:right w:val="single" w:sz="4" w:space="0" w:color="auto"/>
            </w:tcBorders>
            <w:shd w:val="clear" w:color="auto" w:fill="auto"/>
            <w:noWrap/>
            <w:vAlign w:val="center"/>
            <w:hideMark/>
          </w:tcPr>
          <w:p w14:paraId="2241A58C" w14:textId="77777777" w:rsidR="005D6ECD" w:rsidRPr="005D6ECD" w:rsidRDefault="005D6ECD" w:rsidP="005D6ECD">
            <w:pPr>
              <w:spacing w:after="0"/>
              <w:jc w:val="right"/>
              <w:rPr>
                <w:rFonts w:cs="Arial"/>
                <w:color w:val="auto"/>
                <w:sz w:val="20"/>
                <w:szCs w:val="20"/>
              </w:rPr>
            </w:pPr>
            <w:r w:rsidRPr="005D6ECD">
              <w:rPr>
                <w:rFonts w:cs="Arial"/>
                <w:color w:val="auto"/>
                <w:sz w:val="20"/>
                <w:szCs w:val="20"/>
              </w:rPr>
              <w:t>0</w:t>
            </w:r>
          </w:p>
        </w:tc>
        <w:tc>
          <w:tcPr>
            <w:tcW w:w="1260" w:type="dxa"/>
            <w:tcBorders>
              <w:top w:val="nil"/>
              <w:left w:val="nil"/>
              <w:bottom w:val="single" w:sz="4" w:space="0" w:color="auto"/>
              <w:right w:val="single" w:sz="4" w:space="0" w:color="auto"/>
            </w:tcBorders>
            <w:shd w:val="clear" w:color="auto" w:fill="auto"/>
            <w:noWrap/>
            <w:vAlign w:val="center"/>
            <w:hideMark/>
          </w:tcPr>
          <w:p w14:paraId="4B78B2E2" w14:textId="77777777" w:rsidR="005D6ECD" w:rsidRPr="005D6ECD" w:rsidRDefault="005D6ECD" w:rsidP="005D6ECD">
            <w:pPr>
              <w:spacing w:after="0"/>
              <w:jc w:val="right"/>
              <w:rPr>
                <w:rFonts w:cs="Arial"/>
                <w:color w:val="auto"/>
                <w:sz w:val="20"/>
                <w:szCs w:val="20"/>
              </w:rPr>
            </w:pPr>
            <w:r w:rsidRPr="005D6ECD">
              <w:rPr>
                <w:rFonts w:cs="Arial"/>
                <w:color w:val="auto"/>
                <w:sz w:val="20"/>
                <w:szCs w:val="20"/>
              </w:rPr>
              <w:t>-5,000</w:t>
            </w:r>
          </w:p>
        </w:tc>
        <w:tc>
          <w:tcPr>
            <w:tcW w:w="5594" w:type="dxa"/>
            <w:tcBorders>
              <w:top w:val="nil"/>
              <w:left w:val="nil"/>
              <w:bottom w:val="single" w:sz="4" w:space="0" w:color="auto"/>
              <w:right w:val="single" w:sz="4" w:space="0" w:color="auto"/>
            </w:tcBorders>
            <w:shd w:val="clear" w:color="auto" w:fill="auto"/>
            <w:vAlign w:val="center"/>
            <w:hideMark/>
          </w:tcPr>
          <w:p w14:paraId="70735A2F" w14:textId="77777777" w:rsidR="005D6ECD" w:rsidRPr="005D6ECD" w:rsidRDefault="005D6ECD" w:rsidP="005D6ECD">
            <w:pPr>
              <w:spacing w:after="0"/>
              <w:rPr>
                <w:rFonts w:cs="Arial"/>
                <w:color w:val="auto"/>
                <w:sz w:val="20"/>
                <w:szCs w:val="20"/>
              </w:rPr>
            </w:pPr>
            <w:r w:rsidRPr="005D6ECD">
              <w:rPr>
                <w:rFonts w:cs="Arial"/>
                <w:color w:val="auto"/>
                <w:sz w:val="20"/>
                <w:szCs w:val="20"/>
              </w:rPr>
              <w:t>Already notified plan to terminate from 2020-12</w:t>
            </w:r>
          </w:p>
        </w:tc>
      </w:tr>
      <w:tr w:rsidR="005D6ECD" w:rsidRPr="005D6ECD" w14:paraId="2830C7FE" w14:textId="77777777" w:rsidTr="001E11DA">
        <w:trPr>
          <w:trHeight w:val="260"/>
        </w:trPr>
        <w:tc>
          <w:tcPr>
            <w:tcW w:w="4580" w:type="dxa"/>
            <w:tcBorders>
              <w:top w:val="nil"/>
              <w:left w:val="single" w:sz="4" w:space="0" w:color="auto"/>
              <w:bottom w:val="single" w:sz="4" w:space="0" w:color="auto"/>
              <w:right w:val="single" w:sz="4" w:space="0" w:color="auto"/>
            </w:tcBorders>
            <w:shd w:val="clear" w:color="auto" w:fill="auto"/>
            <w:noWrap/>
            <w:vAlign w:val="center"/>
            <w:hideMark/>
          </w:tcPr>
          <w:p w14:paraId="0211207B" w14:textId="77777777" w:rsidR="005D6ECD" w:rsidRPr="005D6ECD" w:rsidRDefault="005D6ECD" w:rsidP="005D6ECD">
            <w:pPr>
              <w:spacing w:after="0"/>
              <w:rPr>
                <w:rFonts w:cs="Arial"/>
                <w:color w:val="auto"/>
                <w:sz w:val="20"/>
                <w:szCs w:val="20"/>
              </w:rPr>
            </w:pPr>
            <w:r w:rsidRPr="005D6ECD">
              <w:rPr>
                <w:rFonts w:cs="Arial"/>
                <w:color w:val="auto"/>
                <w:sz w:val="20"/>
                <w:szCs w:val="20"/>
              </w:rPr>
              <w:lastRenderedPageBreak/>
              <w:t>Service Broker - The Big Issue Foundation</w:t>
            </w:r>
          </w:p>
        </w:tc>
        <w:tc>
          <w:tcPr>
            <w:tcW w:w="1320" w:type="dxa"/>
            <w:tcBorders>
              <w:top w:val="nil"/>
              <w:left w:val="nil"/>
              <w:bottom w:val="single" w:sz="4" w:space="0" w:color="auto"/>
              <w:right w:val="single" w:sz="4" w:space="0" w:color="auto"/>
            </w:tcBorders>
            <w:shd w:val="clear" w:color="auto" w:fill="auto"/>
            <w:noWrap/>
            <w:vAlign w:val="center"/>
            <w:hideMark/>
          </w:tcPr>
          <w:p w14:paraId="6617CB60" w14:textId="77777777" w:rsidR="005D6ECD" w:rsidRPr="005D6ECD" w:rsidRDefault="005D6ECD" w:rsidP="005D6ECD">
            <w:pPr>
              <w:spacing w:after="0"/>
              <w:jc w:val="right"/>
              <w:rPr>
                <w:rFonts w:cs="Arial"/>
                <w:color w:val="auto"/>
                <w:sz w:val="20"/>
                <w:szCs w:val="20"/>
              </w:rPr>
            </w:pPr>
            <w:r w:rsidRPr="005D6ECD">
              <w:rPr>
                <w:rFonts w:cs="Arial"/>
                <w:color w:val="auto"/>
                <w:sz w:val="20"/>
                <w:szCs w:val="20"/>
              </w:rPr>
              <w:t>3,125</w:t>
            </w:r>
          </w:p>
        </w:tc>
        <w:tc>
          <w:tcPr>
            <w:tcW w:w="1280" w:type="dxa"/>
            <w:tcBorders>
              <w:top w:val="nil"/>
              <w:left w:val="nil"/>
              <w:bottom w:val="single" w:sz="4" w:space="0" w:color="auto"/>
              <w:right w:val="single" w:sz="4" w:space="0" w:color="auto"/>
            </w:tcBorders>
            <w:shd w:val="clear" w:color="auto" w:fill="auto"/>
            <w:noWrap/>
            <w:vAlign w:val="center"/>
            <w:hideMark/>
          </w:tcPr>
          <w:p w14:paraId="39E200AA" w14:textId="77777777" w:rsidR="005D6ECD" w:rsidRPr="005D6ECD" w:rsidRDefault="005D6ECD" w:rsidP="005D6ECD">
            <w:pPr>
              <w:spacing w:after="0"/>
              <w:jc w:val="right"/>
              <w:rPr>
                <w:rFonts w:cs="Arial"/>
                <w:color w:val="auto"/>
                <w:sz w:val="20"/>
                <w:szCs w:val="20"/>
              </w:rPr>
            </w:pPr>
            <w:r w:rsidRPr="005D6ECD">
              <w:rPr>
                <w:rFonts w:cs="Arial"/>
                <w:color w:val="auto"/>
                <w:sz w:val="20"/>
                <w:szCs w:val="20"/>
              </w:rPr>
              <w:t>0</w:t>
            </w:r>
          </w:p>
        </w:tc>
        <w:tc>
          <w:tcPr>
            <w:tcW w:w="1260" w:type="dxa"/>
            <w:tcBorders>
              <w:top w:val="nil"/>
              <w:left w:val="nil"/>
              <w:bottom w:val="single" w:sz="4" w:space="0" w:color="auto"/>
              <w:right w:val="single" w:sz="4" w:space="0" w:color="auto"/>
            </w:tcBorders>
            <w:shd w:val="clear" w:color="auto" w:fill="auto"/>
            <w:noWrap/>
            <w:vAlign w:val="center"/>
            <w:hideMark/>
          </w:tcPr>
          <w:p w14:paraId="2E403B9F" w14:textId="77777777" w:rsidR="005D6ECD" w:rsidRPr="005D6ECD" w:rsidRDefault="005D6ECD" w:rsidP="005D6ECD">
            <w:pPr>
              <w:spacing w:after="0"/>
              <w:jc w:val="right"/>
              <w:rPr>
                <w:rFonts w:cs="Arial"/>
                <w:color w:val="auto"/>
                <w:sz w:val="20"/>
                <w:szCs w:val="20"/>
              </w:rPr>
            </w:pPr>
            <w:r w:rsidRPr="005D6ECD">
              <w:rPr>
                <w:rFonts w:cs="Arial"/>
                <w:color w:val="auto"/>
                <w:sz w:val="20"/>
                <w:szCs w:val="20"/>
              </w:rPr>
              <w:t>-3,125</w:t>
            </w:r>
          </w:p>
        </w:tc>
        <w:tc>
          <w:tcPr>
            <w:tcW w:w="5594" w:type="dxa"/>
            <w:tcBorders>
              <w:top w:val="nil"/>
              <w:left w:val="nil"/>
              <w:bottom w:val="single" w:sz="4" w:space="0" w:color="auto"/>
              <w:right w:val="single" w:sz="4" w:space="0" w:color="auto"/>
            </w:tcBorders>
            <w:shd w:val="clear" w:color="auto" w:fill="auto"/>
            <w:noWrap/>
            <w:vAlign w:val="center"/>
            <w:hideMark/>
          </w:tcPr>
          <w:p w14:paraId="713C0FA3" w14:textId="77777777" w:rsidR="005D6ECD" w:rsidRPr="005D6ECD" w:rsidRDefault="005D6ECD" w:rsidP="005D6ECD">
            <w:pPr>
              <w:spacing w:after="0"/>
              <w:rPr>
                <w:rFonts w:cs="Arial"/>
                <w:color w:val="auto"/>
                <w:sz w:val="20"/>
                <w:szCs w:val="20"/>
              </w:rPr>
            </w:pPr>
            <w:r w:rsidRPr="005D6ECD">
              <w:rPr>
                <w:rFonts w:cs="Arial"/>
                <w:color w:val="auto"/>
                <w:sz w:val="20"/>
                <w:szCs w:val="20"/>
              </w:rPr>
              <w:t>Already terminated</w:t>
            </w:r>
          </w:p>
        </w:tc>
      </w:tr>
      <w:tr w:rsidR="005D6ECD" w:rsidRPr="005D6ECD" w14:paraId="36807353" w14:textId="77777777" w:rsidTr="001E11DA">
        <w:trPr>
          <w:trHeight w:val="260"/>
        </w:trPr>
        <w:tc>
          <w:tcPr>
            <w:tcW w:w="4580" w:type="dxa"/>
            <w:tcBorders>
              <w:top w:val="nil"/>
              <w:left w:val="single" w:sz="4" w:space="0" w:color="auto"/>
              <w:bottom w:val="single" w:sz="4" w:space="0" w:color="auto"/>
              <w:right w:val="nil"/>
            </w:tcBorders>
            <w:shd w:val="clear" w:color="000000" w:fill="FFFF00"/>
            <w:noWrap/>
            <w:vAlign w:val="center"/>
            <w:hideMark/>
          </w:tcPr>
          <w:p w14:paraId="727524C6" w14:textId="77777777" w:rsidR="005D6ECD" w:rsidRPr="005D6ECD" w:rsidRDefault="005D6ECD" w:rsidP="005D6ECD">
            <w:pPr>
              <w:spacing w:after="0"/>
              <w:jc w:val="center"/>
              <w:rPr>
                <w:rFonts w:cs="Arial"/>
                <w:b/>
                <w:bCs/>
                <w:color w:val="auto"/>
                <w:sz w:val="20"/>
                <w:szCs w:val="20"/>
              </w:rPr>
            </w:pPr>
            <w:r w:rsidRPr="005D6ECD">
              <w:rPr>
                <w:rFonts w:cs="Arial"/>
                <w:b/>
                <w:bCs/>
                <w:color w:val="auto"/>
                <w:sz w:val="20"/>
                <w:szCs w:val="20"/>
              </w:rPr>
              <w:t>Priority Services for Young People</w:t>
            </w:r>
          </w:p>
        </w:tc>
        <w:tc>
          <w:tcPr>
            <w:tcW w:w="1320" w:type="dxa"/>
            <w:tcBorders>
              <w:top w:val="nil"/>
              <w:left w:val="nil"/>
              <w:bottom w:val="nil"/>
              <w:right w:val="nil"/>
            </w:tcBorders>
            <w:shd w:val="clear" w:color="000000" w:fill="FFFF00"/>
            <w:noWrap/>
            <w:vAlign w:val="center"/>
            <w:hideMark/>
          </w:tcPr>
          <w:p w14:paraId="1310C767" w14:textId="77777777" w:rsidR="005D6ECD" w:rsidRPr="005D6ECD" w:rsidRDefault="005D6ECD" w:rsidP="005D6ECD">
            <w:pPr>
              <w:spacing w:after="0"/>
              <w:jc w:val="right"/>
              <w:rPr>
                <w:rFonts w:cs="Arial"/>
                <w:b/>
                <w:bCs/>
                <w:color w:val="auto"/>
                <w:sz w:val="20"/>
                <w:szCs w:val="20"/>
              </w:rPr>
            </w:pPr>
            <w:r w:rsidRPr="005D6ECD">
              <w:rPr>
                <w:rFonts w:cs="Arial"/>
                <w:b/>
                <w:bCs/>
                <w:color w:val="auto"/>
                <w:sz w:val="20"/>
                <w:szCs w:val="20"/>
              </w:rPr>
              <w:t>6,134</w:t>
            </w:r>
          </w:p>
        </w:tc>
        <w:tc>
          <w:tcPr>
            <w:tcW w:w="1280" w:type="dxa"/>
            <w:tcBorders>
              <w:top w:val="nil"/>
              <w:left w:val="nil"/>
              <w:bottom w:val="nil"/>
              <w:right w:val="nil"/>
            </w:tcBorders>
            <w:shd w:val="clear" w:color="000000" w:fill="FFFF00"/>
            <w:noWrap/>
            <w:vAlign w:val="center"/>
            <w:hideMark/>
          </w:tcPr>
          <w:p w14:paraId="05BE7D7C" w14:textId="77777777" w:rsidR="005D6ECD" w:rsidRPr="005D6ECD" w:rsidRDefault="005D6ECD" w:rsidP="005D6ECD">
            <w:pPr>
              <w:spacing w:after="0"/>
              <w:jc w:val="right"/>
              <w:rPr>
                <w:rFonts w:cs="Arial"/>
                <w:b/>
                <w:bCs/>
                <w:color w:val="auto"/>
                <w:sz w:val="20"/>
                <w:szCs w:val="20"/>
              </w:rPr>
            </w:pPr>
            <w:r w:rsidRPr="005D6ECD">
              <w:rPr>
                <w:rFonts w:cs="Arial"/>
                <w:b/>
                <w:bCs/>
                <w:color w:val="auto"/>
                <w:sz w:val="20"/>
                <w:szCs w:val="20"/>
              </w:rPr>
              <w:t>0</w:t>
            </w:r>
          </w:p>
        </w:tc>
        <w:tc>
          <w:tcPr>
            <w:tcW w:w="1260" w:type="dxa"/>
            <w:tcBorders>
              <w:top w:val="nil"/>
              <w:left w:val="nil"/>
              <w:bottom w:val="nil"/>
              <w:right w:val="nil"/>
            </w:tcBorders>
            <w:shd w:val="clear" w:color="000000" w:fill="FFFF00"/>
            <w:noWrap/>
            <w:vAlign w:val="center"/>
            <w:hideMark/>
          </w:tcPr>
          <w:p w14:paraId="77E0A0F6" w14:textId="77777777" w:rsidR="005D6ECD" w:rsidRPr="005D6ECD" w:rsidRDefault="005D6ECD" w:rsidP="005D6ECD">
            <w:pPr>
              <w:spacing w:after="0"/>
              <w:jc w:val="right"/>
              <w:rPr>
                <w:rFonts w:cs="Arial"/>
                <w:b/>
                <w:bCs/>
                <w:color w:val="auto"/>
                <w:sz w:val="20"/>
                <w:szCs w:val="20"/>
              </w:rPr>
            </w:pPr>
            <w:r w:rsidRPr="005D6ECD">
              <w:rPr>
                <w:rFonts w:cs="Arial"/>
                <w:b/>
                <w:bCs/>
                <w:color w:val="auto"/>
                <w:sz w:val="20"/>
                <w:szCs w:val="20"/>
              </w:rPr>
              <w:t>-6,134</w:t>
            </w:r>
          </w:p>
        </w:tc>
        <w:tc>
          <w:tcPr>
            <w:tcW w:w="5594" w:type="dxa"/>
            <w:tcBorders>
              <w:top w:val="nil"/>
              <w:left w:val="nil"/>
              <w:bottom w:val="single" w:sz="4" w:space="0" w:color="auto"/>
              <w:right w:val="single" w:sz="4" w:space="0" w:color="auto"/>
            </w:tcBorders>
            <w:shd w:val="clear" w:color="000000" w:fill="FFFF00"/>
            <w:noWrap/>
            <w:vAlign w:val="center"/>
            <w:hideMark/>
          </w:tcPr>
          <w:p w14:paraId="7F8BEFEE" w14:textId="77777777" w:rsidR="005D6ECD" w:rsidRPr="005D6ECD" w:rsidRDefault="005D6ECD" w:rsidP="005D6ECD">
            <w:pPr>
              <w:spacing w:after="0"/>
              <w:rPr>
                <w:rFonts w:cs="Arial"/>
                <w:color w:val="auto"/>
                <w:sz w:val="20"/>
                <w:szCs w:val="20"/>
              </w:rPr>
            </w:pPr>
            <w:r w:rsidRPr="005D6ECD">
              <w:rPr>
                <w:rFonts w:cs="Arial"/>
                <w:color w:val="auto"/>
                <w:sz w:val="20"/>
                <w:szCs w:val="20"/>
              </w:rPr>
              <w:t> </w:t>
            </w:r>
          </w:p>
        </w:tc>
      </w:tr>
      <w:tr w:rsidR="005D6ECD" w:rsidRPr="005D6ECD" w14:paraId="1507DB2F" w14:textId="77777777" w:rsidTr="001E11DA">
        <w:trPr>
          <w:trHeight w:val="260"/>
        </w:trPr>
        <w:tc>
          <w:tcPr>
            <w:tcW w:w="4580" w:type="dxa"/>
            <w:tcBorders>
              <w:top w:val="nil"/>
              <w:left w:val="single" w:sz="4" w:space="0" w:color="auto"/>
              <w:bottom w:val="single" w:sz="4" w:space="0" w:color="auto"/>
              <w:right w:val="single" w:sz="4" w:space="0" w:color="auto"/>
            </w:tcBorders>
            <w:shd w:val="clear" w:color="auto" w:fill="auto"/>
            <w:vAlign w:val="center"/>
            <w:hideMark/>
          </w:tcPr>
          <w:p w14:paraId="78D50659" w14:textId="77777777" w:rsidR="005D6ECD" w:rsidRPr="005D6ECD" w:rsidRDefault="005D6ECD" w:rsidP="005D6ECD">
            <w:pPr>
              <w:spacing w:after="0"/>
              <w:rPr>
                <w:rFonts w:cs="Arial"/>
                <w:color w:val="auto"/>
                <w:sz w:val="20"/>
                <w:szCs w:val="20"/>
              </w:rPr>
            </w:pPr>
            <w:r w:rsidRPr="005D6ECD">
              <w:rPr>
                <w:rFonts w:cs="Arial"/>
                <w:color w:val="auto"/>
                <w:sz w:val="20"/>
                <w:szCs w:val="20"/>
              </w:rPr>
              <w:t xml:space="preserve">Emergency Bed for Young Person in Oxford </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14:paraId="1F618450" w14:textId="77777777" w:rsidR="005D6ECD" w:rsidRPr="005D6ECD" w:rsidRDefault="005D6ECD" w:rsidP="005D6ECD">
            <w:pPr>
              <w:spacing w:after="0"/>
              <w:jc w:val="right"/>
              <w:rPr>
                <w:rFonts w:cs="Arial"/>
                <w:color w:val="auto"/>
                <w:sz w:val="20"/>
                <w:szCs w:val="20"/>
              </w:rPr>
            </w:pPr>
            <w:r w:rsidRPr="005D6ECD">
              <w:rPr>
                <w:rFonts w:cs="Arial"/>
                <w:color w:val="auto"/>
                <w:sz w:val="20"/>
                <w:szCs w:val="20"/>
              </w:rPr>
              <w:t>6,134</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14:paraId="7B1DADD3" w14:textId="77777777" w:rsidR="005D6ECD" w:rsidRPr="005D6ECD" w:rsidRDefault="005D6ECD" w:rsidP="005D6ECD">
            <w:pPr>
              <w:spacing w:after="0"/>
              <w:jc w:val="right"/>
              <w:rPr>
                <w:rFonts w:cs="Arial"/>
                <w:color w:val="auto"/>
                <w:sz w:val="20"/>
                <w:szCs w:val="20"/>
              </w:rPr>
            </w:pPr>
            <w:r w:rsidRPr="005D6ECD">
              <w:rPr>
                <w:rFonts w:cs="Arial"/>
                <w:color w:val="auto"/>
                <w:sz w:val="20"/>
                <w:szCs w:val="20"/>
              </w:rPr>
              <w:t>0</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14:paraId="3CA283C5" w14:textId="77777777" w:rsidR="005D6ECD" w:rsidRPr="005D6ECD" w:rsidRDefault="005D6ECD" w:rsidP="005D6ECD">
            <w:pPr>
              <w:spacing w:after="0"/>
              <w:jc w:val="right"/>
              <w:rPr>
                <w:rFonts w:cs="Arial"/>
                <w:color w:val="auto"/>
                <w:sz w:val="20"/>
                <w:szCs w:val="20"/>
              </w:rPr>
            </w:pPr>
            <w:r w:rsidRPr="005D6ECD">
              <w:rPr>
                <w:rFonts w:cs="Arial"/>
                <w:color w:val="auto"/>
                <w:sz w:val="20"/>
                <w:szCs w:val="20"/>
              </w:rPr>
              <w:t>-6,134</w:t>
            </w:r>
          </w:p>
        </w:tc>
        <w:tc>
          <w:tcPr>
            <w:tcW w:w="5594" w:type="dxa"/>
            <w:tcBorders>
              <w:top w:val="nil"/>
              <w:left w:val="nil"/>
              <w:bottom w:val="single" w:sz="4" w:space="0" w:color="auto"/>
              <w:right w:val="single" w:sz="4" w:space="0" w:color="auto"/>
            </w:tcBorders>
            <w:shd w:val="clear" w:color="auto" w:fill="auto"/>
            <w:noWrap/>
            <w:vAlign w:val="center"/>
            <w:hideMark/>
          </w:tcPr>
          <w:p w14:paraId="41A5E9D1" w14:textId="77777777" w:rsidR="005D6ECD" w:rsidRPr="005D6ECD" w:rsidRDefault="005D6ECD" w:rsidP="005D6ECD">
            <w:pPr>
              <w:spacing w:after="0"/>
              <w:rPr>
                <w:rFonts w:cs="Arial"/>
                <w:color w:val="auto"/>
                <w:sz w:val="20"/>
                <w:szCs w:val="20"/>
              </w:rPr>
            </w:pPr>
            <w:r w:rsidRPr="005D6ECD">
              <w:rPr>
                <w:rFonts w:cs="Arial"/>
                <w:color w:val="auto"/>
                <w:sz w:val="20"/>
                <w:szCs w:val="20"/>
              </w:rPr>
              <w:t>Assume covered by OCC contribution to YPP</w:t>
            </w:r>
          </w:p>
        </w:tc>
      </w:tr>
      <w:tr w:rsidR="005D6ECD" w:rsidRPr="005D6ECD" w14:paraId="0D4E00DC" w14:textId="77777777" w:rsidTr="001E11DA">
        <w:trPr>
          <w:trHeight w:val="260"/>
        </w:trPr>
        <w:tc>
          <w:tcPr>
            <w:tcW w:w="4580" w:type="dxa"/>
            <w:tcBorders>
              <w:top w:val="nil"/>
              <w:left w:val="single" w:sz="4" w:space="0" w:color="auto"/>
              <w:bottom w:val="nil"/>
              <w:right w:val="single" w:sz="4" w:space="0" w:color="auto"/>
            </w:tcBorders>
            <w:shd w:val="clear" w:color="000000" w:fill="DA9694"/>
            <w:vAlign w:val="center"/>
            <w:hideMark/>
          </w:tcPr>
          <w:p w14:paraId="69704EE5" w14:textId="77777777" w:rsidR="005D6ECD" w:rsidRPr="005D6ECD" w:rsidRDefault="005D6ECD" w:rsidP="005D6ECD">
            <w:pPr>
              <w:spacing w:after="0"/>
              <w:jc w:val="center"/>
              <w:rPr>
                <w:rFonts w:cs="Arial"/>
                <w:b/>
                <w:bCs/>
                <w:color w:val="auto"/>
                <w:sz w:val="20"/>
                <w:szCs w:val="20"/>
              </w:rPr>
            </w:pPr>
            <w:r w:rsidRPr="005D6ECD">
              <w:rPr>
                <w:rFonts w:cs="Arial"/>
                <w:b/>
                <w:bCs/>
                <w:color w:val="auto"/>
                <w:sz w:val="20"/>
                <w:szCs w:val="20"/>
              </w:rPr>
              <w:t>Other</w:t>
            </w:r>
          </w:p>
        </w:tc>
        <w:tc>
          <w:tcPr>
            <w:tcW w:w="1320" w:type="dxa"/>
            <w:tcBorders>
              <w:top w:val="nil"/>
              <w:left w:val="nil"/>
              <w:bottom w:val="nil"/>
              <w:right w:val="single" w:sz="4" w:space="0" w:color="auto"/>
            </w:tcBorders>
            <w:shd w:val="clear" w:color="000000" w:fill="DA9694"/>
            <w:noWrap/>
            <w:vAlign w:val="center"/>
            <w:hideMark/>
          </w:tcPr>
          <w:p w14:paraId="148FA992" w14:textId="77777777" w:rsidR="005D6ECD" w:rsidRPr="005D6ECD" w:rsidRDefault="005D6ECD" w:rsidP="005D6ECD">
            <w:pPr>
              <w:spacing w:after="0"/>
              <w:jc w:val="right"/>
              <w:rPr>
                <w:rFonts w:cs="Arial"/>
                <w:b/>
                <w:bCs/>
                <w:color w:val="auto"/>
                <w:sz w:val="20"/>
                <w:szCs w:val="20"/>
              </w:rPr>
            </w:pPr>
            <w:r w:rsidRPr="005D6ECD">
              <w:rPr>
                <w:rFonts w:cs="Arial"/>
                <w:b/>
                <w:bCs/>
                <w:color w:val="auto"/>
                <w:sz w:val="20"/>
                <w:szCs w:val="20"/>
              </w:rPr>
              <w:t>136,859</w:t>
            </w:r>
          </w:p>
        </w:tc>
        <w:tc>
          <w:tcPr>
            <w:tcW w:w="1280" w:type="dxa"/>
            <w:tcBorders>
              <w:top w:val="nil"/>
              <w:left w:val="nil"/>
              <w:bottom w:val="nil"/>
              <w:right w:val="single" w:sz="4" w:space="0" w:color="auto"/>
            </w:tcBorders>
            <w:shd w:val="clear" w:color="000000" w:fill="DA9694"/>
            <w:noWrap/>
            <w:vAlign w:val="center"/>
            <w:hideMark/>
          </w:tcPr>
          <w:p w14:paraId="6668FB9C" w14:textId="77777777" w:rsidR="005D6ECD" w:rsidRPr="005D6ECD" w:rsidRDefault="005D6ECD" w:rsidP="005D6ECD">
            <w:pPr>
              <w:spacing w:after="0"/>
              <w:jc w:val="right"/>
              <w:rPr>
                <w:rFonts w:cs="Arial"/>
                <w:b/>
                <w:bCs/>
                <w:color w:val="auto"/>
                <w:sz w:val="20"/>
                <w:szCs w:val="20"/>
              </w:rPr>
            </w:pPr>
            <w:r w:rsidRPr="005D6ECD">
              <w:rPr>
                <w:rFonts w:cs="Arial"/>
                <w:b/>
                <w:bCs/>
                <w:color w:val="auto"/>
                <w:sz w:val="20"/>
                <w:szCs w:val="20"/>
              </w:rPr>
              <w:t>131,500</w:t>
            </w:r>
          </w:p>
        </w:tc>
        <w:tc>
          <w:tcPr>
            <w:tcW w:w="1260" w:type="dxa"/>
            <w:tcBorders>
              <w:top w:val="nil"/>
              <w:left w:val="nil"/>
              <w:bottom w:val="nil"/>
              <w:right w:val="single" w:sz="4" w:space="0" w:color="auto"/>
            </w:tcBorders>
            <w:shd w:val="clear" w:color="000000" w:fill="DA9694"/>
            <w:noWrap/>
            <w:vAlign w:val="center"/>
            <w:hideMark/>
          </w:tcPr>
          <w:p w14:paraId="64898B00" w14:textId="77777777" w:rsidR="005D6ECD" w:rsidRPr="005D6ECD" w:rsidRDefault="005D6ECD" w:rsidP="005D6ECD">
            <w:pPr>
              <w:spacing w:after="0"/>
              <w:jc w:val="right"/>
              <w:rPr>
                <w:rFonts w:cs="Arial"/>
                <w:b/>
                <w:bCs/>
                <w:color w:val="auto"/>
                <w:sz w:val="20"/>
                <w:szCs w:val="20"/>
              </w:rPr>
            </w:pPr>
            <w:r w:rsidRPr="005D6ECD">
              <w:rPr>
                <w:rFonts w:cs="Arial"/>
                <w:b/>
                <w:bCs/>
                <w:color w:val="auto"/>
                <w:sz w:val="20"/>
                <w:szCs w:val="20"/>
              </w:rPr>
              <w:t>5,728</w:t>
            </w:r>
          </w:p>
        </w:tc>
        <w:tc>
          <w:tcPr>
            <w:tcW w:w="5594" w:type="dxa"/>
            <w:tcBorders>
              <w:top w:val="nil"/>
              <w:left w:val="nil"/>
              <w:bottom w:val="nil"/>
              <w:right w:val="single" w:sz="4" w:space="0" w:color="auto"/>
            </w:tcBorders>
            <w:shd w:val="clear" w:color="000000" w:fill="DA9694"/>
            <w:vAlign w:val="center"/>
            <w:hideMark/>
          </w:tcPr>
          <w:p w14:paraId="0BA67E75" w14:textId="77777777" w:rsidR="005D6ECD" w:rsidRPr="005D6ECD" w:rsidRDefault="005D6ECD" w:rsidP="005D6ECD">
            <w:pPr>
              <w:spacing w:after="0"/>
              <w:rPr>
                <w:rFonts w:cs="Arial"/>
                <w:color w:val="auto"/>
                <w:sz w:val="20"/>
                <w:szCs w:val="20"/>
              </w:rPr>
            </w:pPr>
            <w:r w:rsidRPr="005D6ECD">
              <w:rPr>
                <w:rFonts w:cs="Arial"/>
                <w:color w:val="auto"/>
                <w:sz w:val="20"/>
                <w:szCs w:val="20"/>
              </w:rPr>
              <w:t> </w:t>
            </w:r>
          </w:p>
        </w:tc>
      </w:tr>
      <w:tr w:rsidR="005D6ECD" w:rsidRPr="005D6ECD" w14:paraId="2F3CE771" w14:textId="77777777" w:rsidTr="001E11DA">
        <w:trPr>
          <w:trHeight w:val="260"/>
        </w:trPr>
        <w:tc>
          <w:tcPr>
            <w:tcW w:w="4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83ADCD" w14:textId="77777777" w:rsidR="005D6ECD" w:rsidRPr="005D6ECD" w:rsidRDefault="005D6ECD" w:rsidP="005D6ECD">
            <w:pPr>
              <w:spacing w:after="0"/>
              <w:rPr>
                <w:rFonts w:cs="Arial"/>
                <w:color w:val="auto"/>
                <w:sz w:val="20"/>
                <w:szCs w:val="20"/>
              </w:rPr>
            </w:pPr>
            <w:r w:rsidRPr="005D6ECD">
              <w:rPr>
                <w:rFonts w:cs="Arial"/>
                <w:color w:val="auto"/>
                <w:sz w:val="20"/>
                <w:szCs w:val="20"/>
              </w:rPr>
              <w:t>RS&amp;SH Team (Core Team)</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14:paraId="4AAF3596" w14:textId="77777777" w:rsidR="005D6ECD" w:rsidRPr="005D6ECD" w:rsidRDefault="005D6ECD" w:rsidP="005D6ECD">
            <w:pPr>
              <w:spacing w:after="0"/>
              <w:jc w:val="right"/>
              <w:rPr>
                <w:rFonts w:cs="Arial"/>
                <w:color w:val="auto"/>
                <w:sz w:val="20"/>
                <w:szCs w:val="20"/>
              </w:rPr>
            </w:pPr>
            <w:r w:rsidRPr="005D6ECD">
              <w:rPr>
                <w:rFonts w:cs="Arial"/>
                <w:color w:val="auto"/>
                <w:sz w:val="20"/>
                <w:szCs w:val="20"/>
              </w:rPr>
              <w:t>120,000</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14:paraId="3EA7AA76" w14:textId="77777777" w:rsidR="005D6ECD" w:rsidRPr="005D6ECD" w:rsidRDefault="005D6ECD" w:rsidP="001F5E38">
            <w:pPr>
              <w:spacing w:after="0"/>
              <w:jc w:val="right"/>
              <w:rPr>
                <w:rFonts w:cs="Arial"/>
                <w:color w:val="auto"/>
                <w:sz w:val="20"/>
                <w:szCs w:val="20"/>
              </w:rPr>
            </w:pPr>
            <w:r w:rsidRPr="005D6ECD">
              <w:rPr>
                <w:rFonts w:cs="Arial"/>
                <w:color w:val="auto"/>
                <w:sz w:val="20"/>
                <w:szCs w:val="20"/>
              </w:rPr>
              <w:t>1</w:t>
            </w:r>
            <w:r w:rsidR="001F5E38">
              <w:rPr>
                <w:rFonts w:cs="Arial"/>
                <w:color w:val="auto"/>
                <w:sz w:val="20"/>
                <w:szCs w:val="20"/>
              </w:rPr>
              <w:t>96</w:t>
            </w:r>
            <w:r w:rsidRPr="005D6ECD">
              <w:rPr>
                <w:rFonts w:cs="Arial"/>
                <w:color w:val="auto"/>
                <w:sz w:val="20"/>
                <w:szCs w:val="20"/>
              </w:rPr>
              <w:t>,000</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14:paraId="41434B15" w14:textId="77777777" w:rsidR="005D6ECD" w:rsidRPr="005D6ECD" w:rsidRDefault="001F5E38" w:rsidP="001F5E38">
            <w:pPr>
              <w:spacing w:after="0"/>
              <w:jc w:val="right"/>
              <w:rPr>
                <w:rFonts w:cs="Arial"/>
                <w:color w:val="auto"/>
                <w:sz w:val="20"/>
                <w:szCs w:val="20"/>
              </w:rPr>
            </w:pPr>
            <w:r>
              <w:rPr>
                <w:rFonts w:cs="Arial"/>
                <w:color w:val="auto"/>
                <w:sz w:val="20"/>
                <w:szCs w:val="20"/>
              </w:rPr>
              <w:t>76,000</w:t>
            </w:r>
          </w:p>
        </w:tc>
        <w:tc>
          <w:tcPr>
            <w:tcW w:w="5594" w:type="dxa"/>
            <w:tcBorders>
              <w:top w:val="single" w:sz="4" w:space="0" w:color="auto"/>
              <w:left w:val="nil"/>
              <w:bottom w:val="single" w:sz="4" w:space="0" w:color="auto"/>
              <w:right w:val="single" w:sz="4" w:space="0" w:color="auto"/>
            </w:tcBorders>
            <w:shd w:val="clear" w:color="auto" w:fill="auto"/>
            <w:noWrap/>
            <w:vAlign w:val="center"/>
            <w:hideMark/>
          </w:tcPr>
          <w:p w14:paraId="4DA432C7" w14:textId="77777777" w:rsidR="005D6ECD" w:rsidRPr="005D6ECD" w:rsidRDefault="005D6ECD" w:rsidP="005D6ECD">
            <w:pPr>
              <w:spacing w:after="0"/>
              <w:rPr>
                <w:rFonts w:cs="Arial"/>
                <w:color w:val="auto"/>
                <w:sz w:val="20"/>
                <w:szCs w:val="20"/>
              </w:rPr>
            </w:pPr>
            <w:r w:rsidRPr="005D6ECD">
              <w:rPr>
                <w:rFonts w:cs="Arial"/>
                <w:color w:val="auto"/>
                <w:sz w:val="20"/>
                <w:szCs w:val="20"/>
              </w:rPr>
              <w:t>Core team</w:t>
            </w:r>
          </w:p>
        </w:tc>
      </w:tr>
      <w:tr w:rsidR="005D6ECD" w:rsidRPr="005D6ECD" w14:paraId="1E22F53F" w14:textId="77777777" w:rsidTr="001E11DA">
        <w:trPr>
          <w:trHeight w:val="260"/>
        </w:trPr>
        <w:tc>
          <w:tcPr>
            <w:tcW w:w="4580" w:type="dxa"/>
            <w:tcBorders>
              <w:top w:val="nil"/>
              <w:left w:val="single" w:sz="4" w:space="0" w:color="auto"/>
              <w:bottom w:val="single" w:sz="4" w:space="0" w:color="auto"/>
              <w:right w:val="single" w:sz="4" w:space="0" w:color="auto"/>
            </w:tcBorders>
            <w:shd w:val="clear" w:color="auto" w:fill="auto"/>
            <w:vAlign w:val="center"/>
            <w:hideMark/>
          </w:tcPr>
          <w:p w14:paraId="4E87AA26" w14:textId="77777777" w:rsidR="005D6ECD" w:rsidRPr="005D6ECD" w:rsidRDefault="005D6ECD" w:rsidP="005D6ECD">
            <w:pPr>
              <w:spacing w:after="0"/>
              <w:rPr>
                <w:rFonts w:cs="Arial"/>
                <w:color w:val="auto"/>
                <w:sz w:val="20"/>
                <w:szCs w:val="20"/>
              </w:rPr>
            </w:pPr>
            <w:proofErr w:type="spellStart"/>
            <w:r w:rsidRPr="005D6ECD">
              <w:rPr>
                <w:rFonts w:cs="Arial"/>
                <w:color w:val="auto"/>
                <w:sz w:val="20"/>
                <w:szCs w:val="20"/>
              </w:rPr>
              <w:t>OxTHINK</w:t>
            </w:r>
            <w:proofErr w:type="spellEnd"/>
            <w:r w:rsidRPr="005D6ECD">
              <w:rPr>
                <w:rFonts w:cs="Arial"/>
                <w:color w:val="auto"/>
                <w:sz w:val="20"/>
                <w:szCs w:val="20"/>
              </w:rPr>
              <w:t xml:space="preserve"> - licences</w:t>
            </w:r>
          </w:p>
        </w:tc>
        <w:tc>
          <w:tcPr>
            <w:tcW w:w="1320" w:type="dxa"/>
            <w:tcBorders>
              <w:top w:val="nil"/>
              <w:left w:val="nil"/>
              <w:bottom w:val="single" w:sz="4" w:space="0" w:color="auto"/>
              <w:right w:val="single" w:sz="4" w:space="0" w:color="auto"/>
            </w:tcBorders>
            <w:shd w:val="clear" w:color="auto" w:fill="auto"/>
            <w:noWrap/>
            <w:vAlign w:val="center"/>
            <w:hideMark/>
          </w:tcPr>
          <w:p w14:paraId="45975450" w14:textId="77777777" w:rsidR="005D6ECD" w:rsidRPr="005D6ECD" w:rsidRDefault="005D6ECD" w:rsidP="005D6ECD">
            <w:pPr>
              <w:spacing w:after="0"/>
              <w:jc w:val="right"/>
              <w:rPr>
                <w:rFonts w:cs="Arial"/>
                <w:color w:val="auto"/>
                <w:sz w:val="20"/>
                <w:szCs w:val="20"/>
              </w:rPr>
            </w:pPr>
            <w:r w:rsidRPr="005D6ECD">
              <w:rPr>
                <w:rFonts w:cs="Arial"/>
                <w:color w:val="auto"/>
                <w:sz w:val="20"/>
                <w:szCs w:val="20"/>
              </w:rPr>
              <w:t>5,272</w:t>
            </w:r>
          </w:p>
        </w:tc>
        <w:tc>
          <w:tcPr>
            <w:tcW w:w="1280" w:type="dxa"/>
            <w:tcBorders>
              <w:top w:val="nil"/>
              <w:left w:val="nil"/>
              <w:bottom w:val="single" w:sz="4" w:space="0" w:color="auto"/>
              <w:right w:val="single" w:sz="4" w:space="0" w:color="auto"/>
            </w:tcBorders>
            <w:shd w:val="clear" w:color="auto" w:fill="auto"/>
            <w:noWrap/>
            <w:vAlign w:val="center"/>
            <w:hideMark/>
          </w:tcPr>
          <w:p w14:paraId="598A591A" w14:textId="77777777" w:rsidR="005D6ECD" w:rsidRPr="005D6ECD" w:rsidRDefault="005D6ECD" w:rsidP="005D6ECD">
            <w:pPr>
              <w:spacing w:after="0"/>
              <w:jc w:val="right"/>
              <w:rPr>
                <w:rFonts w:cs="Arial"/>
                <w:color w:val="auto"/>
                <w:sz w:val="20"/>
                <w:szCs w:val="20"/>
              </w:rPr>
            </w:pPr>
            <w:r w:rsidRPr="005D6ECD">
              <w:rPr>
                <w:rFonts w:cs="Arial"/>
                <w:color w:val="auto"/>
                <w:sz w:val="20"/>
                <w:szCs w:val="20"/>
              </w:rPr>
              <w:t>5,000</w:t>
            </w:r>
          </w:p>
        </w:tc>
        <w:tc>
          <w:tcPr>
            <w:tcW w:w="1260" w:type="dxa"/>
            <w:tcBorders>
              <w:top w:val="nil"/>
              <w:left w:val="nil"/>
              <w:bottom w:val="single" w:sz="4" w:space="0" w:color="auto"/>
              <w:right w:val="single" w:sz="4" w:space="0" w:color="auto"/>
            </w:tcBorders>
            <w:shd w:val="clear" w:color="auto" w:fill="auto"/>
            <w:noWrap/>
            <w:vAlign w:val="center"/>
            <w:hideMark/>
          </w:tcPr>
          <w:p w14:paraId="2B8924B2" w14:textId="77777777" w:rsidR="005D6ECD" w:rsidRPr="005D6ECD" w:rsidRDefault="005D6ECD" w:rsidP="005D6ECD">
            <w:pPr>
              <w:spacing w:after="0"/>
              <w:jc w:val="right"/>
              <w:rPr>
                <w:rFonts w:cs="Arial"/>
                <w:color w:val="auto"/>
                <w:sz w:val="20"/>
                <w:szCs w:val="20"/>
              </w:rPr>
            </w:pPr>
            <w:r w:rsidRPr="005D6ECD">
              <w:rPr>
                <w:rFonts w:cs="Arial"/>
                <w:color w:val="auto"/>
                <w:sz w:val="20"/>
                <w:szCs w:val="20"/>
              </w:rPr>
              <w:t>-272</w:t>
            </w:r>
          </w:p>
        </w:tc>
        <w:tc>
          <w:tcPr>
            <w:tcW w:w="5594" w:type="dxa"/>
            <w:tcBorders>
              <w:top w:val="nil"/>
              <w:left w:val="nil"/>
              <w:bottom w:val="single" w:sz="4" w:space="0" w:color="auto"/>
              <w:right w:val="single" w:sz="4" w:space="0" w:color="auto"/>
            </w:tcBorders>
            <w:shd w:val="clear" w:color="auto" w:fill="auto"/>
            <w:vAlign w:val="center"/>
            <w:hideMark/>
          </w:tcPr>
          <w:p w14:paraId="475189DE" w14:textId="77777777" w:rsidR="005D6ECD" w:rsidRPr="005D6ECD" w:rsidRDefault="005D6ECD" w:rsidP="005D6ECD">
            <w:pPr>
              <w:spacing w:after="0"/>
              <w:rPr>
                <w:rFonts w:cs="Arial"/>
                <w:color w:val="auto"/>
                <w:sz w:val="20"/>
                <w:szCs w:val="20"/>
              </w:rPr>
            </w:pPr>
            <w:r w:rsidRPr="005D6ECD">
              <w:rPr>
                <w:rFonts w:cs="Arial"/>
                <w:color w:val="auto"/>
                <w:sz w:val="20"/>
                <w:szCs w:val="20"/>
              </w:rPr>
              <w:t> </w:t>
            </w:r>
          </w:p>
        </w:tc>
      </w:tr>
      <w:tr w:rsidR="005D6ECD" w:rsidRPr="005D6ECD" w14:paraId="3437B40F" w14:textId="77777777" w:rsidTr="001E11DA">
        <w:trPr>
          <w:trHeight w:val="260"/>
        </w:trPr>
        <w:tc>
          <w:tcPr>
            <w:tcW w:w="4580" w:type="dxa"/>
            <w:tcBorders>
              <w:top w:val="nil"/>
              <w:left w:val="single" w:sz="4" w:space="0" w:color="auto"/>
              <w:bottom w:val="single" w:sz="4" w:space="0" w:color="auto"/>
              <w:right w:val="single" w:sz="4" w:space="0" w:color="auto"/>
            </w:tcBorders>
            <w:shd w:val="clear" w:color="auto" w:fill="auto"/>
            <w:noWrap/>
            <w:vAlign w:val="center"/>
            <w:hideMark/>
          </w:tcPr>
          <w:p w14:paraId="3E27456F" w14:textId="77777777" w:rsidR="005D6ECD" w:rsidRPr="005D6ECD" w:rsidRDefault="00E93B43" w:rsidP="005D6ECD">
            <w:pPr>
              <w:spacing w:after="0"/>
              <w:rPr>
                <w:rFonts w:cs="Arial"/>
                <w:color w:val="auto"/>
                <w:sz w:val="20"/>
                <w:szCs w:val="20"/>
              </w:rPr>
            </w:pPr>
            <w:r>
              <w:rPr>
                <w:rFonts w:cs="Arial"/>
                <w:color w:val="auto"/>
                <w:sz w:val="20"/>
                <w:szCs w:val="20"/>
              </w:rPr>
              <w:t>Acc</w:t>
            </w:r>
            <w:r w:rsidR="005D6ECD" w:rsidRPr="005D6ECD">
              <w:rPr>
                <w:rFonts w:cs="Arial"/>
                <w:color w:val="auto"/>
                <w:sz w:val="20"/>
                <w:szCs w:val="20"/>
              </w:rPr>
              <w:t>ess to Leisure Services</w:t>
            </w:r>
          </w:p>
        </w:tc>
        <w:tc>
          <w:tcPr>
            <w:tcW w:w="1320" w:type="dxa"/>
            <w:tcBorders>
              <w:top w:val="nil"/>
              <w:left w:val="nil"/>
              <w:bottom w:val="single" w:sz="4" w:space="0" w:color="auto"/>
              <w:right w:val="single" w:sz="4" w:space="0" w:color="auto"/>
            </w:tcBorders>
            <w:shd w:val="clear" w:color="auto" w:fill="auto"/>
            <w:noWrap/>
            <w:vAlign w:val="center"/>
            <w:hideMark/>
          </w:tcPr>
          <w:p w14:paraId="039F7B1C" w14:textId="77777777" w:rsidR="005D6ECD" w:rsidRPr="005D6ECD" w:rsidRDefault="005D6ECD" w:rsidP="005D6ECD">
            <w:pPr>
              <w:spacing w:after="0"/>
              <w:jc w:val="right"/>
              <w:rPr>
                <w:rFonts w:cs="Arial"/>
                <w:color w:val="auto"/>
                <w:sz w:val="20"/>
                <w:szCs w:val="20"/>
              </w:rPr>
            </w:pPr>
            <w:r w:rsidRPr="005D6ECD">
              <w:rPr>
                <w:rFonts w:cs="Arial"/>
                <w:color w:val="auto"/>
                <w:sz w:val="20"/>
                <w:szCs w:val="20"/>
              </w:rPr>
              <w:t>5,000</w:t>
            </w:r>
          </w:p>
        </w:tc>
        <w:tc>
          <w:tcPr>
            <w:tcW w:w="1280" w:type="dxa"/>
            <w:tcBorders>
              <w:top w:val="nil"/>
              <w:left w:val="nil"/>
              <w:bottom w:val="single" w:sz="4" w:space="0" w:color="auto"/>
              <w:right w:val="single" w:sz="4" w:space="0" w:color="auto"/>
            </w:tcBorders>
            <w:shd w:val="clear" w:color="auto" w:fill="auto"/>
            <w:noWrap/>
            <w:vAlign w:val="center"/>
            <w:hideMark/>
          </w:tcPr>
          <w:p w14:paraId="1842951A" w14:textId="77777777" w:rsidR="005D6ECD" w:rsidRPr="005D6ECD" w:rsidRDefault="005D6ECD" w:rsidP="005D6ECD">
            <w:pPr>
              <w:spacing w:after="0"/>
              <w:jc w:val="right"/>
              <w:rPr>
                <w:rFonts w:cs="Arial"/>
                <w:color w:val="auto"/>
                <w:sz w:val="20"/>
                <w:szCs w:val="20"/>
              </w:rPr>
            </w:pPr>
            <w:r w:rsidRPr="005D6ECD">
              <w:rPr>
                <w:rFonts w:cs="Arial"/>
                <w:color w:val="auto"/>
                <w:sz w:val="20"/>
                <w:szCs w:val="20"/>
              </w:rPr>
              <w:t>5,000</w:t>
            </w:r>
          </w:p>
        </w:tc>
        <w:tc>
          <w:tcPr>
            <w:tcW w:w="1260" w:type="dxa"/>
            <w:tcBorders>
              <w:top w:val="nil"/>
              <w:left w:val="nil"/>
              <w:bottom w:val="single" w:sz="4" w:space="0" w:color="auto"/>
              <w:right w:val="single" w:sz="4" w:space="0" w:color="auto"/>
            </w:tcBorders>
            <w:shd w:val="clear" w:color="auto" w:fill="auto"/>
            <w:noWrap/>
            <w:vAlign w:val="center"/>
            <w:hideMark/>
          </w:tcPr>
          <w:p w14:paraId="4D5EB533" w14:textId="77777777" w:rsidR="005D6ECD" w:rsidRPr="005D6ECD" w:rsidRDefault="005D6ECD" w:rsidP="005D6ECD">
            <w:pPr>
              <w:spacing w:after="0"/>
              <w:jc w:val="right"/>
              <w:rPr>
                <w:rFonts w:cs="Arial"/>
                <w:color w:val="auto"/>
                <w:sz w:val="20"/>
                <w:szCs w:val="20"/>
              </w:rPr>
            </w:pPr>
            <w:r w:rsidRPr="005D6ECD">
              <w:rPr>
                <w:rFonts w:cs="Arial"/>
                <w:color w:val="auto"/>
                <w:sz w:val="20"/>
                <w:szCs w:val="20"/>
              </w:rPr>
              <w:t>0</w:t>
            </w:r>
          </w:p>
        </w:tc>
        <w:tc>
          <w:tcPr>
            <w:tcW w:w="5594" w:type="dxa"/>
            <w:tcBorders>
              <w:top w:val="nil"/>
              <w:left w:val="nil"/>
              <w:bottom w:val="single" w:sz="4" w:space="0" w:color="auto"/>
              <w:right w:val="single" w:sz="4" w:space="0" w:color="auto"/>
            </w:tcBorders>
            <w:shd w:val="clear" w:color="auto" w:fill="auto"/>
            <w:noWrap/>
            <w:vAlign w:val="center"/>
            <w:hideMark/>
          </w:tcPr>
          <w:p w14:paraId="455A4C8E" w14:textId="77777777" w:rsidR="005D6ECD" w:rsidRPr="005D6ECD" w:rsidRDefault="005D6ECD" w:rsidP="005D6ECD">
            <w:pPr>
              <w:spacing w:after="0"/>
              <w:rPr>
                <w:rFonts w:cs="Arial"/>
                <w:color w:val="auto"/>
                <w:sz w:val="20"/>
                <w:szCs w:val="20"/>
              </w:rPr>
            </w:pPr>
            <w:r w:rsidRPr="005D6ECD">
              <w:rPr>
                <w:rFonts w:cs="Arial"/>
                <w:color w:val="auto"/>
                <w:sz w:val="20"/>
                <w:szCs w:val="20"/>
              </w:rPr>
              <w:t> </w:t>
            </w:r>
          </w:p>
        </w:tc>
      </w:tr>
      <w:tr w:rsidR="005D6ECD" w:rsidRPr="005D6ECD" w14:paraId="3BAC4495" w14:textId="77777777" w:rsidTr="001E11DA">
        <w:trPr>
          <w:trHeight w:val="260"/>
        </w:trPr>
        <w:tc>
          <w:tcPr>
            <w:tcW w:w="4580" w:type="dxa"/>
            <w:tcBorders>
              <w:top w:val="nil"/>
              <w:left w:val="single" w:sz="4" w:space="0" w:color="auto"/>
              <w:bottom w:val="single" w:sz="4" w:space="0" w:color="auto"/>
              <w:right w:val="single" w:sz="4" w:space="0" w:color="auto"/>
            </w:tcBorders>
            <w:shd w:val="clear" w:color="auto" w:fill="auto"/>
            <w:vAlign w:val="center"/>
            <w:hideMark/>
          </w:tcPr>
          <w:p w14:paraId="5803806F" w14:textId="77777777" w:rsidR="005D6ECD" w:rsidRPr="005D6ECD" w:rsidRDefault="005D6ECD" w:rsidP="005D6ECD">
            <w:pPr>
              <w:spacing w:after="0"/>
              <w:rPr>
                <w:rFonts w:cs="Arial"/>
                <w:color w:val="auto"/>
                <w:sz w:val="20"/>
                <w:szCs w:val="20"/>
              </w:rPr>
            </w:pPr>
            <w:r w:rsidRPr="005D6ECD">
              <w:rPr>
                <w:rFonts w:cs="Arial"/>
                <w:color w:val="auto"/>
                <w:sz w:val="20"/>
                <w:szCs w:val="20"/>
              </w:rPr>
              <w:t>Network development programme</w:t>
            </w:r>
          </w:p>
        </w:tc>
        <w:tc>
          <w:tcPr>
            <w:tcW w:w="1320" w:type="dxa"/>
            <w:tcBorders>
              <w:top w:val="nil"/>
              <w:left w:val="nil"/>
              <w:bottom w:val="single" w:sz="4" w:space="0" w:color="auto"/>
              <w:right w:val="single" w:sz="4" w:space="0" w:color="auto"/>
            </w:tcBorders>
            <w:shd w:val="clear" w:color="auto" w:fill="auto"/>
            <w:noWrap/>
            <w:vAlign w:val="center"/>
            <w:hideMark/>
          </w:tcPr>
          <w:p w14:paraId="19630C20" w14:textId="77777777" w:rsidR="005D6ECD" w:rsidRPr="005D6ECD" w:rsidRDefault="005D6ECD" w:rsidP="005D6ECD">
            <w:pPr>
              <w:spacing w:after="0"/>
              <w:jc w:val="right"/>
              <w:rPr>
                <w:rFonts w:cs="Arial"/>
                <w:color w:val="auto"/>
                <w:sz w:val="20"/>
                <w:szCs w:val="20"/>
              </w:rPr>
            </w:pPr>
            <w:r w:rsidRPr="005D6ECD">
              <w:rPr>
                <w:rFonts w:cs="Arial"/>
                <w:color w:val="auto"/>
                <w:sz w:val="20"/>
                <w:szCs w:val="20"/>
              </w:rPr>
              <w:t>5,000</w:t>
            </w:r>
          </w:p>
        </w:tc>
        <w:tc>
          <w:tcPr>
            <w:tcW w:w="1280" w:type="dxa"/>
            <w:tcBorders>
              <w:top w:val="nil"/>
              <w:left w:val="nil"/>
              <w:bottom w:val="single" w:sz="4" w:space="0" w:color="auto"/>
              <w:right w:val="single" w:sz="4" w:space="0" w:color="auto"/>
            </w:tcBorders>
            <w:shd w:val="clear" w:color="auto" w:fill="auto"/>
            <w:noWrap/>
            <w:vAlign w:val="center"/>
            <w:hideMark/>
          </w:tcPr>
          <w:p w14:paraId="07D4ED63" w14:textId="77777777" w:rsidR="005D6ECD" w:rsidRPr="005D6ECD" w:rsidRDefault="005D6ECD" w:rsidP="005D6ECD">
            <w:pPr>
              <w:spacing w:after="0"/>
              <w:jc w:val="right"/>
              <w:rPr>
                <w:rFonts w:cs="Arial"/>
                <w:color w:val="auto"/>
                <w:sz w:val="20"/>
                <w:szCs w:val="20"/>
              </w:rPr>
            </w:pPr>
            <w:r w:rsidRPr="005D6ECD">
              <w:rPr>
                <w:rFonts w:cs="Arial"/>
                <w:color w:val="auto"/>
                <w:sz w:val="20"/>
                <w:szCs w:val="20"/>
              </w:rPr>
              <w:t>0</w:t>
            </w:r>
          </w:p>
        </w:tc>
        <w:tc>
          <w:tcPr>
            <w:tcW w:w="1260" w:type="dxa"/>
            <w:tcBorders>
              <w:top w:val="nil"/>
              <w:left w:val="nil"/>
              <w:bottom w:val="single" w:sz="4" w:space="0" w:color="auto"/>
              <w:right w:val="single" w:sz="4" w:space="0" w:color="auto"/>
            </w:tcBorders>
            <w:shd w:val="clear" w:color="auto" w:fill="auto"/>
            <w:noWrap/>
            <w:vAlign w:val="center"/>
            <w:hideMark/>
          </w:tcPr>
          <w:p w14:paraId="0EA3A691" w14:textId="77777777" w:rsidR="005D6ECD" w:rsidRPr="005D6ECD" w:rsidRDefault="005D6ECD" w:rsidP="005D6ECD">
            <w:pPr>
              <w:spacing w:after="0"/>
              <w:jc w:val="right"/>
              <w:rPr>
                <w:rFonts w:cs="Arial"/>
                <w:color w:val="auto"/>
                <w:sz w:val="20"/>
                <w:szCs w:val="20"/>
              </w:rPr>
            </w:pPr>
            <w:r w:rsidRPr="005D6ECD">
              <w:rPr>
                <w:rFonts w:cs="Arial"/>
                <w:color w:val="auto"/>
                <w:sz w:val="20"/>
                <w:szCs w:val="20"/>
              </w:rPr>
              <w:t>5,000</w:t>
            </w:r>
          </w:p>
        </w:tc>
        <w:tc>
          <w:tcPr>
            <w:tcW w:w="5594" w:type="dxa"/>
            <w:tcBorders>
              <w:top w:val="nil"/>
              <w:left w:val="nil"/>
              <w:bottom w:val="single" w:sz="4" w:space="0" w:color="auto"/>
              <w:right w:val="single" w:sz="4" w:space="0" w:color="auto"/>
            </w:tcBorders>
            <w:shd w:val="clear" w:color="auto" w:fill="auto"/>
            <w:noWrap/>
            <w:vAlign w:val="center"/>
            <w:hideMark/>
          </w:tcPr>
          <w:p w14:paraId="3739B39C" w14:textId="77777777" w:rsidR="005D6ECD" w:rsidRPr="005D6ECD" w:rsidRDefault="005D6ECD" w:rsidP="005D6ECD">
            <w:pPr>
              <w:spacing w:after="0"/>
              <w:jc w:val="center"/>
              <w:rPr>
                <w:rFonts w:cs="Arial"/>
                <w:color w:val="auto"/>
                <w:sz w:val="20"/>
                <w:szCs w:val="20"/>
              </w:rPr>
            </w:pPr>
            <w:r w:rsidRPr="005D6ECD">
              <w:rPr>
                <w:rFonts w:cs="Arial"/>
                <w:color w:val="auto"/>
                <w:sz w:val="20"/>
                <w:szCs w:val="20"/>
              </w:rPr>
              <w:t> </w:t>
            </w:r>
          </w:p>
        </w:tc>
      </w:tr>
      <w:tr w:rsidR="005D6ECD" w:rsidRPr="005D6ECD" w14:paraId="06880E44" w14:textId="77777777" w:rsidTr="001E11DA">
        <w:trPr>
          <w:trHeight w:val="260"/>
        </w:trPr>
        <w:tc>
          <w:tcPr>
            <w:tcW w:w="4580" w:type="dxa"/>
            <w:tcBorders>
              <w:top w:val="nil"/>
              <w:left w:val="single" w:sz="4" w:space="0" w:color="auto"/>
              <w:bottom w:val="single" w:sz="4" w:space="0" w:color="auto"/>
              <w:right w:val="single" w:sz="4" w:space="0" w:color="auto"/>
            </w:tcBorders>
            <w:shd w:val="clear" w:color="auto" w:fill="auto"/>
            <w:vAlign w:val="center"/>
            <w:hideMark/>
          </w:tcPr>
          <w:p w14:paraId="5ACFEAF5" w14:textId="77777777" w:rsidR="005D6ECD" w:rsidRPr="005D6ECD" w:rsidRDefault="005D6ECD" w:rsidP="005D6ECD">
            <w:pPr>
              <w:spacing w:after="0"/>
              <w:rPr>
                <w:rFonts w:cs="Arial"/>
                <w:color w:val="auto"/>
                <w:sz w:val="20"/>
                <w:szCs w:val="20"/>
              </w:rPr>
            </w:pPr>
            <w:r w:rsidRPr="005D6ECD">
              <w:rPr>
                <w:rFonts w:cs="Arial"/>
                <w:color w:val="auto"/>
                <w:sz w:val="20"/>
                <w:szCs w:val="20"/>
              </w:rPr>
              <w:t>Contingency</w:t>
            </w:r>
          </w:p>
        </w:tc>
        <w:tc>
          <w:tcPr>
            <w:tcW w:w="1320" w:type="dxa"/>
            <w:tcBorders>
              <w:top w:val="nil"/>
              <w:left w:val="nil"/>
              <w:bottom w:val="single" w:sz="4" w:space="0" w:color="auto"/>
              <w:right w:val="single" w:sz="4" w:space="0" w:color="auto"/>
            </w:tcBorders>
            <w:shd w:val="clear" w:color="auto" w:fill="auto"/>
            <w:noWrap/>
            <w:vAlign w:val="center"/>
            <w:hideMark/>
          </w:tcPr>
          <w:p w14:paraId="7575A93E" w14:textId="77777777" w:rsidR="005D6ECD" w:rsidRPr="005D6ECD" w:rsidRDefault="005D6ECD" w:rsidP="005D6ECD">
            <w:pPr>
              <w:spacing w:after="0"/>
              <w:jc w:val="right"/>
              <w:rPr>
                <w:rFonts w:cs="Arial"/>
                <w:color w:val="auto"/>
                <w:sz w:val="20"/>
                <w:szCs w:val="20"/>
              </w:rPr>
            </w:pPr>
            <w:r w:rsidRPr="005D6ECD">
              <w:rPr>
                <w:rFonts w:cs="Arial"/>
                <w:color w:val="auto"/>
                <w:sz w:val="20"/>
                <w:szCs w:val="20"/>
              </w:rPr>
              <w:t>1,587</w:t>
            </w:r>
          </w:p>
        </w:tc>
        <w:tc>
          <w:tcPr>
            <w:tcW w:w="1280" w:type="dxa"/>
            <w:tcBorders>
              <w:top w:val="nil"/>
              <w:left w:val="nil"/>
              <w:bottom w:val="single" w:sz="4" w:space="0" w:color="auto"/>
              <w:right w:val="single" w:sz="4" w:space="0" w:color="auto"/>
            </w:tcBorders>
            <w:shd w:val="clear" w:color="auto" w:fill="auto"/>
            <w:noWrap/>
            <w:vAlign w:val="center"/>
            <w:hideMark/>
          </w:tcPr>
          <w:p w14:paraId="3DEAB379" w14:textId="77777777" w:rsidR="005D6ECD" w:rsidRPr="005D6ECD" w:rsidRDefault="005D6ECD" w:rsidP="005D6ECD">
            <w:pPr>
              <w:spacing w:after="0"/>
              <w:jc w:val="right"/>
              <w:rPr>
                <w:rFonts w:cs="Arial"/>
                <w:color w:val="auto"/>
                <w:sz w:val="20"/>
                <w:szCs w:val="20"/>
              </w:rPr>
            </w:pPr>
            <w:r w:rsidRPr="005D6ECD">
              <w:rPr>
                <w:rFonts w:cs="Arial"/>
                <w:color w:val="auto"/>
                <w:sz w:val="20"/>
                <w:szCs w:val="20"/>
              </w:rPr>
              <w:t>1,500</w:t>
            </w:r>
          </w:p>
        </w:tc>
        <w:tc>
          <w:tcPr>
            <w:tcW w:w="1260" w:type="dxa"/>
            <w:tcBorders>
              <w:top w:val="nil"/>
              <w:left w:val="nil"/>
              <w:bottom w:val="single" w:sz="4" w:space="0" w:color="auto"/>
              <w:right w:val="single" w:sz="4" w:space="0" w:color="auto"/>
            </w:tcBorders>
            <w:shd w:val="clear" w:color="auto" w:fill="auto"/>
            <w:noWrap/>
            <w:vAlign w:val="center"/>
            <w:hideMark/>
          </w:tcPr>
          <w:p w14:paraId="6FF3FDD9" w14:textId="77777777" w:rsidR="005D6ECD" w:rsidRPr="005D6ECD" w:rsidRDefault="00E93B43" w:rsidP="005D6ECD">
            <w:pPr>
              <w:spacing w:after="0"/>
              <w:jc w:val="right"/>
              <w:rPr>
                <w:rFonts w:cs="Arial"/>
                <w:color w:val="auto"/>
                <w:sz w:val="20"/>
                <w:szCs w:val="20"/>
              </w:rPr>
            </w:pPr>
            <w:r>
              <w:rPr>
                <w:rFonts w:cs="Arial"/>
                <w:color w:val="auto"/>
                <w:sz w:val="20"/>
                <w:szCs w:val="20"/>
              </w:rPr>
              <w:t>-87</w:t>
            </w:r>
          </w:p>
        </w:tc>
        <w:tc>
          <w:tcPr>
            <w:tcW w:w="5594" w:type="dxa"/>
            <w:tcBorders>
              <w:top w:val="nil"/>
              <w:left w:val="nil"/>
              <w:bottom w:val="single" w:sz="4" w:space="0" w:color="auto"/>
              <w:right w:val="single" w:sz="4" w:space="0" w:color="auto"/>
            </w:tcBorders>
            <w:shd w:val="clear" w:color="auto" w:fill="auto"/>
            <w:noWrap/>
            <w:vAlign w:val="center"/>
            <w:hideMark/>
          </w:tcPr>
          <w:p w14:paraId="7E5E6650" w14:textId="77777777" w:rsidR="005D6ECD" w:rsidRPr="005D6ECD" w:rsidRDefault="005D6ECD" w:rsidP="005D6ECD">
            <w:pPr>
              <w:spacing w:after="0"/>
              <w:jc w:val="center"/>
              <w:rPr>
                <w:rFonts w:cs="Arial"/>
                <w:color w:val="auto"/>
                <w:sz w:val="20"/>
                <w:szCs w:val="20"/>
              </w:rPr>
            </w:pPr>
            <w:r w:rsidRPr="005D6ECD">
              <w:rPr>
                <w:rFonts w:cs="Arial"/>
                <w:color w:val="auto"/>
                <w:sz w:val="20"/>
                <w:szCs w:val="20"/>
              </w:rPr>
              <w:t> </w:t>
            </w:r>
          </w:p>
        </w:tc>
      </w:tr>
      <w:tr w:rsidR="005D6ECD" w:rsidRPr="005D6ECD" w14:paraId="663BAAF8" w14:textId="77777777" w:rsidTr="001E11DA">
        <w:trPr>
          <w:trHeight w:val="260"/>
        </w:trPr>
        <w:tc>
          <w:tcPr>
            <w:tcW w:w="4580" w:type="dxa"/>
            <w:tcBorders>
              <w:top w:val="nil"/>
              <w:left w:val="single" w:sz="4" w:space="0" w:color="auto"/>
              <w:bottom w:val="nil"/>
              <w:right w:val="nil"/>
            </w:tcBorders>
            <w:shd w:val="clear" w:color="000000" w:fill="FFFFFF"/>
            <w:noWrap/>
            <w:vAlign w:val="center"/>
            <w:hideMark/>
          </w:tcPr>
          <w:p w14:paraId="2C97FC47" w14:textId="77777777" w:rsidR="005D6ECD" w:rsidRPr="005D6ECD" w:rsidRDefault="005D6ECD" w:rsidP="005D6ECD">
            <w:pPr>
              <w:spacing w:after="0"/>
              <w:rPr>
                <w:rFonts w:cs="Arial"/>
                <w:color w:val="auto"/>
                <w:sz w:val="20"/>
                <w:szCs w:val="20"/>
              </w:rPr>
            </w:pPr>
            <w:r w:rsidRPr="005D6ECD">
              <w:rPr>
                <w:rFonts w:cs="Arial"/>
                <w:color w:val="auto"/>
                <w:sz w:val="20"/>
                <w:szCs w:val="20"/>
              </w:rPr>
              <w:t> </w:t>
            </w:r>
          </w:p>
        </w:tc>
        <w:tc>
          <w:tcPr>
            <w:tcW w:w="1320" w:type="dxa"/>
            <w:tcBorders>
              <w:top w:val="nil"/>
              <w:left w:val="single" w:sz="4" w:space="0" w:color="auto"/>
              <w:bottom w:val="single" w:sz="4" w:space="0" w:color="auto"/>
              <w:right w:val="single" w:sz="4" w:space="0" w:color="auto"/>
            </w:tcBorders>
            <w:shd w:val="clear" w:color="000000" w:fill="F2F2F2"/>
            <w:noWrap/>
            <w:vAlign w:val="center"/>
            <w:hideMark/>
          </w:tcPr>
          <w:p w14:paraId="5DB604C3" w14:textId="77777777" w:rsidR="005D6ECD" w:rsidRPr="005D6ECD" w:rsidRDefault="005D6ECD" w:rsidP="005D6ECD">
            <w:pPr>
              <w:spacing w:after="0"/>
              <w:jc w:val="right"/>
              <w:rPr>
                <w:rFonts w:cs="Arial"/>
                <w:b/>
                <w:bCs/>
                <w:color w:val="auto"/>
                <w:sz w:val="20"/>
                <w:szCs w:val="20"/>
              </w:rPr>
            </w:pPr>
            <w:r w:rsidRPr="005D6ECD">
              <w:rPr>
                <w:rFonts w:cs="Arial"/>
                <w:b/>
                <w:bCs/>
                <w:color w:val="auto"/>
                <w:sz w:val="20"/>
                <w:szCs w:val="20"/>
              </w:rPr>
              <w:t> </w:t>
            </w:r>
          </w:p>
        </w:tc>
        <w:tc>
          <w:tcPr>
            <w:tcW w:w="1280" w:type="dxa"/>
            <w:tcBorders>
              <w:top w:val="nil"/>
              <w:left w:val="nil"/>
              <w:bottom w:val="nil"/>
              <w:right w:val="nil"/>
            </w:tcBorders>
            <w:shd w:val="clear" w:color="auto" w:fill="auto"/>
            <w:noWrap/>
            <w:vAlign w:val="center"/>
            <w:hideMark/>
          </w:tcPr>
          <w:p w14:paraId="2AE185EE" w14:textId="77777777" w:rsidR="005D6ECD" w:rsidRPr="005D6ECD" w:rsidRDefault="005D6ECD" w:rsidP="005D6ECD">
            <w:pPr>
              <w:spacing w:after="0"/>
              <w:jc w:val="right"/>
              <w:rPr>
                <w:rFonts w:cs="Arial"/>
                <w:b/>
                <w:bCs/>
                <w:color w:val="auto"/>
                <w:sz w:val="20"/>
                <w:szCs w:val="20"/>
              </w:rPr>
            </w:pPr>
          </w:p>
        </w:tc>
        <w:tc>
          <w:tcPr>
            <w:tcW w:w="1260" w:type="dxa"/>
            <w:tcBorders>
              <w:top w:val="nil"/>
              <w:left w:val="nil"/>
              <w:bottom w:val="nil"/>
              <w:right w:val="nil"/>
            </w:tcBorders>
            <w:shd w:val="clear" w:color="000000" w:fill="FFFFFF"/>
            <w:noWrap/>
            <w:vAlign w:val="center"/>
            <w:hideMark/>
          </w:tcPr>
          <w:p w14:paraId="28DBD42E" w14:textId="77777777" w:rsidR="005D6ECD" w:rsidRPr="005D6ECD" w:rsidRDefault="005D6ECD" w:rsidP="005D6ECD">
            <w:pPr>
              <w:spacing w:after="0"/>
              <w:jc w:val="right"/>
              <w:rPr>
                <w:rFonts w:cs="Arial"/>
                <w:color w:val="auto"/>
                <w:sz w:val="20"/>
                <w:szCs w:val="20"/>
              </w:rPr>
            </w:pPr>
            <w:r w:rsidRPr="005D6ECD">
              <w:rPr>
                <w:rFonts w:cs="Arial"/>
                <w:color w:val="auto"/>
                <w:sz w:val="20"/>
                <w:szCs w:val="20"/>
              </w:rPr>
              <w:t> </w:t>
            </w:r>
          </w:p>
        </w:tc>
        <w:tc>
          <w:tcPr>
            <w:tcW w:w="5594" w:type="dxa"/>
            <w:tcBorders>
              <w:top w:val="nil"/>
              <w:left w:val="nil"/>
              <w:bottom w:val="nil"/>
              <w:right w:val="single" w:sz="4" w:space="0" w:color="auto"/>
            </w:tcBorders>
            <w:shd w:val="clear" w:color="000000" w:fill="FFFFFF"/>
            <w:vAlign w:val="center"/>
            <w:hideMark/>
          </w:tcPr>
          <w:p w14:paraId="14679E96" w14:textId="77777777" w:rsidR="005D6ECD" w:rsidRPr="005D6ECD" w:rsidRDefault="005D6ECD" w:rsidP="005D6ECD">
            <w:pPr>
              <w:spacing w:after="0"/>
              <w:rPr>
                <w:rFonts w:cs="Arial"/>
                <w:color w:val="auto"/>
                <w:sz w:val="20"/>
                <w:szCs w:val="20"/>
              </w:rPr>
            </w:pPr>
            <w:r w:rsidRPr="005D6ECD">
              <w:rPr>
                <w:rFonts w:cs="Arial"/>
                <w:color w:val="auto"/>
                <w:sz w:val="20"/>
                <w:szCs w:val="20"/>
              </w:rPr>
              <w:t> </w:t>
            </w:r>
          </w:p>
        </w:tc>
      </w:tr>
      <w:tr w:rsidR="005D6ECD" w:rsidRPr="005D6ECD" w14:paraId="299E2AA0" w14:textId="77777777" w:rsidTr="001E11DA">
        <w:trPr>
          <w:trHeight w:val="260"/>
        </w:trPr>
        <w:tc>
          <w:tcPr>
            <w:tcW w:w="458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1A1ADB11" w14:textId="77777777" w:rsidR="005D6ECD" w:rsidRPr="005D6ECD" w:rsidRDefault="005D6ECD" w:rsidP="005D6ECD">
            <w:pPr>
              <w:spacing w:after="0"/>
              <w:rPr>
                <w:rFonts w:cs="Arial"/>
                <w:b/>
                <w:bCs/>
                <w:color w:val="auto"/>
                <w:sz w:val="20"/>
                <w:szCs w:val="20"/>
              </w:rPr>
            </w:pPr>
            <w:r w:rsidRPr="005D6ECD">
              <w:rPr>
                <w:rFonts w:cs="Arial"/>
                <w:b/>
                <w:bCs/>
                <w:color w:val="auto"/>
                <w:sz w:val="20"/>
                <w:szCs w:val="20"/>
              </w:rPr>
              <w:t>Total expenditure</w:t>
            </w:r>
          </w:p>
        </w:tc>
        <w:tc>
          <w:tcPr>
            <w:tcW w:w="1320" w:type="dxa"/>
            <w:tcBorders>
              <w:top w:val="nil"/>
              <w:left w:val="nil"/>
              <w:bottom w:val="single" w:sz="4" w:space="0" w:color="auto"/>
              <w:right w:val="single" w:sz="4" w:space="0" w:color="auto"/>
            </w:tcBorders>
            <w:shd w:val="clear" w:color="000000" w:fill="F2F2F2"/>
            <w:noWrap/>
            <w:vAlign w:val="center"/>
            <w:hideMark/>
          </w:tcPr>
          <w:p w14:paraId="1352CF07" w14:textId="77777777" w:rsidR="005D6ECD" w:rsidRPr="005D6ECD" w:rsidRDefault="005D6ECD" w:rsidP="005D6ECD">
            <w:pPr>
              <w:spacing w:after="0"/>
              <w:jc w:val="right"/>
              <w:rPr>
                <w:rFonts w:cs="Arial"/>
                <w:b/>
                <w:bCs/>
                <w:color w:val="auto"/>
                <w:sz w:val="20"/>
                <w:szCs w:val="20"/>
              </w:rPr>
            </w:pPr>
            <w:r w:rsidRPr="005D6ECD">
              <w:rPr>
                <w:rFonts w:cs="Arial"/>
                <w:b/>
                <w:bCs/>
                <w:color w:val="auto"/>
                <w:sz w:val="20"/>
                <w:szCs w:val="20"/>
              </w:rPr>
              <w:t>1,744,197</w:t>
            </w:r>
          </w:p>
        </w:tc>
        <w:tc>
          <w:tcPr>
            <w:tcW w:w="1280" w:type="dxa"/>
            <w:tcBorders>
              <w:top w:val="single" w:sz="4" w:space="0" w:color="auto"/>
              <w:left w:val="nil"/>
              <w:bottom w:val="single" w:sz="4" w:space="0" w:color="auto"/>
              <w:right w:val="single" w:sz="4" w:space="0" w:color="auto"/>
            </w:tcBorders>
            <w:shd w:val="clear" w:color="000000" w:fill="F2F2F2"/>
            <w:noWrap/>
            <w:vAlign w:val="center"/>
            <w:hideMark/>
          </w:tcPr>
          <w:p w14:paraId="6ADD0DB1" w14:textId="77777777" w:rsidR="005D6ECD" w:rsidRPr="005D6ECD" w:rsidRDefault="005D6ECD" w:rsidP="001F5E38">
            <w:pPr>
              <w:spacing w:after="0"/>
              <w:jc w:val="right"/>
              <w:rPr>
                <w:rFonts w:cs="Arial"/>
                <w:b/>
                <w:bCs/>
                <w:color w:val="auto"/>
                <w:sz w:val="20"/>
                <w:szCs w:val="20"/>
              </w:rPr>
            </w:pPr>
            <w:r w:rsidRPr="005D6ECD">
              <w:rPr>
                <w:rFonts w:cs="Arial"/>
                <w:b/>
                <w:bCs/>
                <w:color w:val="auto"/>
                <w:sz w:val="20"/>
                <w:szCs w:val="20"/>
              </w:rPr>
              <w:t>1,</w:t>
            </w:r>
            <w:r w:rsidR="001F5E38">
              <w:rPr>
                <w:rFonts w:cs="Arial"/>
                <w:b/>
                <w:bCs/>
                <w:color w:val="auto"/>
                <w:sz w:val="20"/>
                <w:szCs w:val="20"/>
              </w:rPr>
              <w:t>401</w:t>
            </w:r>
            <w:r w:rsidRPr="005D6ECD">
              <w:rPr>
                <w:rFonts w:cs="Arial"/>
                <w:b/>
                <w:bCs/>
                <w:color w:val="auto"/>
                <w:sz w:val="20"/>
                <w:szCs w:val="20"/>
              </w:rPr>
              <w:t>,842</w:t>
            </w:r>
          </w:p>
        </w:tc>
        <w:tc>
          <w:tcPr>
            <w:tcW w:w="1260" w:type="dxa"/>
            <w:tcBorders>
              <w:top w:val="single" w:sz="4" w:space="0" w:color="auto"/>
              <w:left w:val="nil"/>
              <w:bottom w:val="single" w:sz="4" w:space="0" w:color="auto"/>
              <w:right w:val="single" w:sz="4" w:space="0" w:color="auto"/>
            </w:tcBorders>
            <w:shd w:val="clear" w:color="000000" w:fill="F2F2F2"/>
            <w:noWrap/>
            <w:vAlign w:val="center"/>
            <w:hideMark/>
          </w:tcPr>
          <w:p w14:paraId="3D632A73" w14:textId="77777777" w:rsidR="005D6ECD" w:rsidRPr="005D6ECD" w:rsidRDefault="005D6ECD" w:rsidP="001F5E38">
            <w:pPr>
              <w:spacing w:after="0"/>
              <w:jc w:val="right"/>
              <w:rPr>
                <w:rFonts w:cs="Arial"/>
                <w:b/>
                <w:bCs/>
                <w:color w:val="auto"/>
                <w:sz w:val="20"/>
                <w:szCs w:val="20"/>
              </w:rPr>
            </w:pPr>
            <w:r w:rsidRPr="005D6ECD">
              <w:rPr>
                <w:rFonts w:cs="Arial"/>
                <w:b/>
                <w:bCs/>
                <w:color w:val="auto"/>
                <w:sz w:val="20"/>
                <w:szCs w:val="20"/>
              </w:rPr>
              <w:t>-</w:t>
            </w:r>
            <w:r w:rsidR="001F5E38">
              <w:rPr>
                <w:rFonts w:cs="Arial"/>
                <w:b/>
                <w:bCs/>
                <w:color w:val="auto"/>
                <w:sz w:val="20"/>
                <w:szCs w:val="20"/>
              </w:rPr>
              <w:t>332</w:t>
            </w:r>
            <w:r w:rsidR="00E93B43">
              <w:rPr>
                <w:rFonts w:cs="Arial"/>
                <w:b/>
                <w:bCs/>
                <w:color w:val="auto"/>
                <w:sz w:val="20"/>
                <w:szCs w:val="20"/>
              </w:rPr>
              <w:t>,355</w:t>
            </w:r>
          </w:p>
        </w:tc>
        <w:tc>
          <w:tcPr>
            <w:tcW w:w="5594" w:type="dxa"/>
            <w:tcBorders>
              <w:top w:val="single" w:sz="4" w:space="0" w:color="auto"/>
              <w:left w:val="nil"/>
              <w:bottom w:val="single" w:sz="4" w:space="0" w:color="auto"/>
              <w:right w:val="single" w:sz="4" w:space="0" w:color="auto"/>
            </w:tcBorders>
            <w:shd w:val="clear" w:color="000000" w:fill="F2F2F2"/>
            <w:vAlign w:val="center"/>
            <w:hideMark/>
          </w:tcPr>
          <w:p w14:paraId="20604E07" w14:textId="77777777" w:rsidR="005D6ECD" w:rsidRPr="005D6ECD" w:rsidRDefault="005D6ECD" w:rsidP="005D6ECD">
            <w:pPr>
              <w:spacing w:after="0"/>
              <w:rPr>
                <w:rFonts w:cs="Arial"/>
                <w:color w:val="auto"/>
                <w:sz w:val="20"/>
                <w:szCs w:val="20"/>
              </w:rPr>
            </w:pPr>
            <w:r w:rsidRPr="005D6ECD">
              <w:rPr>
                <w:rFonts w:cs="Arial"/>
                <w:color w:val="auto"/>
                <w:sz w:val="20"/>
                <w:szCs w:val="20"/>
              </w:rPr>
              <w:t> </w:t>
            </w:r>
          </w:p>
        </w:tc>
      </w:tr>
    </w:tbl>
    <w:p w14:paraId="33D60BED" w14:textId="77777777" w:rsidR="005D6ECD" w:rsidRDefault="005D6ECD" w:rsidP="005D6ECD">
      <w:pPr>
        <w:pStyle w:val="ListParagraph"/>
        <w:numPr>
          <w:ilvl w:val="0"/>
          <w:numId w:val="0"/>
        </w:numPr>
        <w:ind w:left="360"/>
      </w:pPr>
    </w:p>
    <w:p w14:paraId="359447BC" w14:textId="77777777" w:rsidR="005D6ECD" w:rsidRDefault="005D6ECD" w:rsidP="005D6ECD">
      <w:pPr>
        <w:pStyle w:val="ListParagraph"/>
        <w:numPr>
          <w:ilvl w:val="0"/>
          <w:numId w:val="0"/>
        </w:numPr>
        <w:ind w:left="360"/>
        <w:sectPr w:rsidR="005D6ECD" w:rsidSect="005D6ECD">
          <w:pgSz w:w="16838" w:h="11906" w:orient="landscape" w:code="9"/>
          <w:pgMar w:top="1304" w:right="1418" w:bottom="1304" w:left="1304" w:header="1134" w:footer="680" w:gutter="0"/>
          <w:cols w:space="708"/>
          <w:titlePg/>
          <w:docGrid w:linePitch="360"/>
        </w:sectPr>
      </w:pPr>
    </w:p>
    <w:p w14:paraId="1490B976" w14:textId="77777777" w:rsidR="00764E2F" w:rsidRDefault="00764E2F" w:rsidP="00B93809">
      <w:pPr>
        <w:pStyle w:val="ListParagraph"/>
        <w:numPr>
          <w:ilvl w:val="0"/>
          <w:numId w:val="7"/>
        </w:numPr>
      </w:pPr>
      <w:r>
        <w:lastRenderedPageBreak/>
        <w:t>The proposed allocations will continue to maintain a wide range of services and support for single homeless people in Oxford. However, the following developments may mean that it will be necessary to make some revisions to this programme at the end of the current financial year or early in 2020/21:</w:t>
      </w:r>
    </w:p>
    <w:p w14:paraId="0F27A642" w14:textId="77777777" w:rsidR="00764E2F" w:rsidRPr="00D362C2" w:rsidRDefault="00764E2F" w:rsidP="00B93809">
      <w:pPr>
        <w:pStyle w:val="ListParagraph"/>
        <w:numPr>
          <w:ilvl w:val="0"/>
          <w:numId w:val="10"/>
        </w:numPr>
        <w:rPr>
          <w:b/>
        </w:rPr>
      </w:pPr>
      <w:r w:rsidRPr="00D362C2">
        <w:rPr>
          <w:b/>
        </w:rPr>
        <w:t>MHCLG’s Rough Sleeping Initiative Round 3 Fund</w:t>
      </w:r>
    </w:p>
    <w:p w14:paraId="7F21E2E7" w14:textId="77777777" w:rsidR="00226587" w:rsidRDefault="00764E2F" w:rsidP="00D362C2">
      <w:pPr>
        <w:pStyle w:val="ListParagraph"/>
        <w:numPr>
          <w:ilvl w:val="0"/>
          <w:numId w:val="0"/>
        </w:numPr>
        <w:ind w:left="720"/>
      </w:pPr>
      <w:r>
        <w:t xml:space="preserve">In December 2019, City Officers’ led and submitted a joint countywide bid for </w:t>
      </w:r>
      <w:r w:rsidRPr="00226587">
        <w:t>further funding from MHCLG valued at £</w:t>
      </w:r>
      <w:r w:rsidR="00226587" w:rsidRPr="00226587">
        <w:t>1,521,305</w:t>
      </w:r>
      <w:r w:rsidRPr="00226587">
        <w:t>. The proposal includes</w:t>
      </w:r>
      <w:r>
        <w:t xml:space="preserve"> </w:t>
      </w:r>
      <w:r w:rsidRPr="00226587">
        <w:t xml:space="preserve">requests for funding for a range of projects and initiatives including the delivery of services at Floyds Row. Also included are requests to fund </w:t>
      </w:r>
      <w:r w:rsidR="00226587" w:rsidRPr="00226587">
        <w:t xml:space="preserve">in 2020/21 </w:t>
      </w:r>
      <w:r w:rsidRPr="00226587">
        <w:t xml:space="preserve">the continuation of the </w:t>
      </w:r>
      <w:r w:rsidR="00226587">
        <w:t>following:</w:t>
      </w:r>
    </w:p>
    <w:p w14:paraId="520AA935" w14:textId="77777777" w:rsidR="00226587" w:rsidRDefault="00764E2F" w:rsidP="00B93809">
      <w:pPr>
        <w:pStyle w:val="ListParagraph"/>
        <w:numPr>
          <w:ilvl w:val="0"/>
          <w:numId w:val="11"/>
        </w:numPr>
      </w:pPr>
      <w:r w:rsidRPr="00226587">
        <w:t xml:space="preserve">Sit Up service expansion of 10 units at O’Hanlon House to September 2020 </w:t>
      </w:r>
      <w:r w:rsidR="00226587">
        <w:t>[</w:t>
      </w:r>
      <w:r w:rsidR="00D362C2" w:rsidRPr="00226587">
        <w:t>£</w:t>
      </w:r>
      <w:r w:rsidR="00226587" w:rsidRPr="00226587">
        <w:t>30,000</w:t>
      </w:r>
      <w:r w:rsidR="00226587">
        <w:t>]</w:t>
      </w:r>
      <w:r w:rsidR="00D362C2" w:rsidRPr="00226587">
        <w:t xml:space="preserve"> </w:t>
      </w:r>
    </w:p>
    <w:p w14:paraId="7E0A48AA" w14:textId="77777777" w:rsidR="00226587" w:rsidRDefault="00764E2F" w:rsidP="00B93809">
      <w:pPr>
        <w:pStyle w:val="ListParagraph"/>
        <w:numPr>
          <w:ilvl w:val="0"/>
          <w:numId w:val="11"/>
        </w:numPr>
      </w:pPr>
      <w:r w:rsidRPr="00226587">
        <w:t xml:space="preserve">Supported Lettings Pilot Project </w:t>
      </w:r>
      <w:r w:rsidR="00226587">
        <w:t>[</w:t>
      </w:r>
      <w:r w:rsidR="00226587" w:rsidRPr="00226587">
        <w:t>£17,550</w:t>
      </w:r>
      <w:r w:rsidR="00226587">
        <w:t>]</w:t>
      </w:r>
    </w:p>
    <w:p w14:paraId="6B92AFF8" w14:textId="77777777" w:rsidR="00226587" w:rsidRDefault="00226587" w:rsidP="00B93809">
      <w:pPr>
        <w:pStyle w:val="ListParagraph"/>
        <w:numPr>
          <w:ilvl w:val="0"/>
          <w:numId w:val="11"/>
        </w:numPr>
      </w:pPr>
      <w:r>
        <w:t>Women’s unit [</w:t>
      </w:r>
      <w:r w:rsidRPr="00226587">
        <w:t>£</w:t>
      </w:r>
      <w:r>
        <w:t>51,038]</w:t>
      </w:r>
    </w:p>
    <w:p w14:paraId="7575B401" w14:textId="77777777" w:rsidR="00226587" w:rsidRDefault="00226587" w:rsidP="00B93809">
      <w:pPr>
        <w:pStyle w:val="ListParagraph"/>
        <w:numPr>
          <w:ilvl w:val="0"/>
          <w:numId w:val="11"/>
        </w:numPr>
      </w:pPr>
      <w:r>
        <w:t>Pre-recovery unit</w:t>
      </w:r>
      <w:r w:rsidRPr="00226587">
        <w:t xml:space="preserve"> </w:t>
      </w:r>
      <w:r>
        <w:t>[</w:t>
      </w:r>
      <w:r w:rsidRPr="00226587">
        <w:t>£7</w:t>
      </w:r>
      <w:r>
        <w:t>9,037]</w:t>
      </w:r>
    </w:p>
    <w:p w14:paraId="3F876E65" w14:textId="77777777" w:rsidR="00764E2F" w:rsidRDefault="00764E2F" w:rsidP="00226587">
      <w:pPr>
        <w:pStyle w:val="ListParagraph"/>
        <w:numPr>
          <w:ilvl w:val="0"/>
          <w:numId w:val="0"/>
        </w:numPr>
        <w:ind w:left="720"/>
      </w:pPr>
      <w:r w:rsidRPr="00226587">
        <w:t xml:space="preserve">Officers are optimistic that these elements of the bid will be successful, however if they are not, </w:t>
      </w:r>
      <w:r w:rsidR="00554483">
        <w:t>s</w:t>
      </w:r>
      <w:r w:rsidR="00487022">
        <w:t>ome services may need to be discontinued and / or there may</w:t>
      </w:r>
      <w:r w:rsidR="00554483">
        <w:t xml:space="preserve"> </w:t>
      </w:r>
      <w:r w:rsidR="00487022">
        <w:t>be a need to re-prioritise the 2020/21 allocation.</w:t>
      </w:r>
    </w:p>
    <w:p w14:paraId="49A2DF0C" w14:textId="77777777" w:rsidR="00764E2F" w:rsidRPr="00D362C2" w:rsidRDefault="00764E2F" w:rsidP="00B93809">
      <w:pPr>
        <w:pStyle w:val="ListParagraph"/>
        <w:numPr>
          <w:ilvl w:val="0"/>
          <w:numId w:val="10"/>
        </w:numPr>
        <w:rPr>
          <w:b/>
        </w:rPr>
      </w:pPr>
      <w:r w:rsidRPr="00D362C2">
        <w:rPr>
          <w:b/>
        </w:rPr>
        <w:t>Review of non-accommodation based services</w:t>
      </w:r>
    </w:p>
    <w:p w14:paraId="0853BEB5" w14:textId="77777777" w:rsidR="00D362C2" w:rsidRDefault="00D362C2" w:rsidP="00D362C2">
      <w:pPr>
        <w:pStyle w:val="ListParagraph"/>
        <w:numPr>
          <w:ilvl w:val="0"/>
          <w:numId w:val="0"/>
        </w:numPr>
        <w:ind w:left="720"/>
        <w:rPr>
          <w:rFonts w:eastAsia="Calibri" w:cs="Arial"/>
        </w:rPr>
      </w:pPr>
      <w:r>
        <w:t xml:space="preserve">Officers are currently carrying out a review of non-accommodation based services including day / evening services and services that help support people into </w:t>
      </w:r>
      <w:r w:rsidRPr="00D362C2">
        <w:t>work, education and training</w:t>
      </w:r>
      <w:r>
        <w:t xml:space="preserve">. </w:t>
      </w:r>
    </w:p>
    <w:p w14:paraId="0FC7D616" w14:textId="77777777" w:rsidR="00D362C2" w:rsidRPr="00D362C2" w:rsidRDefault="00B214DB" w:rsidP="00B214DB">
      <w:pPr>
        <w:pStyle w:val="ListParagraph"/>
        <w:numPr>
          <w:ilvl w:val="0"/>
          <w:numId w:val="0"/>
        </w:numPr>
        <w:ind w:left="720"/>
      </w:pPr>
      <w:r>
        <w:t>The</w:t>
      </w:r>
      <w:r w:rsidR="00D362C2">
        <w:t xml:space="preserve"> review</w:t>
      </w:r>
      <w:r>
        <w:t xml:space="preserve"> is currently mapping</w:t>
      </w:r>
      <w:r w:rsidR="00D362C2">
        <w:t xml:space="preserve"> </w:t>
      </w:r>
      <w:r w:rsidR="00D362C2" w:rsidRPr="00D362C2">
        <w:t>what services are available, how well these are used</w:t>
      </w:r>
      <w:r>
        <w:t xml:space="preserve"> </w:t>
      </w:r>
      <w:r w:rsidR="00D362C2">
        <w:t xml:space="preserve">and </w:t>
      </w:r>
      <w:r w:rsidR="00D362C2" w:rsidRPr="00D362C2">
        <w:t>what outcomes they deliver</w:t>
      </w:r>
      <w:r w:rsidR="00D362C2">
        <w:t xml:space="preserve">. It will seek to </w:t>
      </w:r>
      <w:r w:rsidR="00D362C2" w:rsidRPr="00D362C2">
        <w:t xml:space="preserve">understand what service users and providers think about the services, their purpose and effectiveness, </w:t>
      </w:r>
      <w:r w:rsidR="00D362C2">
        <w:t xml:space="preserve">and how they might be improved. The project will review </w:t>
      </w:r>
      <w:r w:rsidR="00D362C2" w:rsidRPr="00D362C2">
        <w:t xml:space="preserve">commissioning and service arrangements in other </w:t>
      </w:r>
      <w:r w:rsidR="00D362C2">
        <w:t>areas and examine</w:t>
      </w:r>
      <w:r w:rsidR="00D362C2" w:rsidRPr="00D362C2">
        <w:t xml:space="preserve"> best practice guidance on the role and contribution that these services can make.</w:t>
      </w:r>
    </w:p>
    <w:p w14:paraId="006CC38B" w14:textId="77777777" w:rsidR="00D362C2" w:rsidRDefault="00B214DB" w:rsidP="00B214DB">
      <w:pPr>
        <w:ind w:left="720"/>
      </w:pPr>
      <w:r>
        <w:t xml:space="preserve">Finally, the project will consider what role such services can play in </w:t>
      </w:r>
      <w:r w:rsidR="00D362C2" w:rsidRPr="00D362C2">
        <w:t>the context</w:t>
      </w:r>
      <w:r>
        <w:t xml:space="preserve"> of </w:t>
      </w:r>
      <w:r w:rsidR="00D362C2" w:rsidRPr="00D362C2">
        <w:t>anticipated developments in the wider system,</w:t>
      </w:r>
      <w:r>
        <w:t xml:space="preserve"> </w:t>
      </w:r>
      <w:proofErr w:type="spellStart"/>
      <w:r>
        <w:t>eg</w:t>
      </w:r>
      <w:proofErr w:type="spellEnd"/>
      <w:r>
        <w:t>. Floyds Row</w:t>
      </w:r>
      <w:r w:rsidR="00D362C2" w:rsidRPr="00D362C2">
        <w:t xml:space="preserve"> and appraise the implications for future commissioning of day services and positive activities</w:t>
      </w:r>
      <w:r>
        <w:t>.</w:t>
      </w:r>
    </w:p>
    <w:p w14:paraId="67964BCA" w14:textId="6966308D" w:rsidR="00B214DB" w:rsidRPr="00D362C2" w:rsidRDefault="00B214DB" w:rsidP="00B214DB">
      <w:pPr>
        <w:ind w:left="720"/>
      </w:pPr>
      <w:r>
        <w:t>It is likely that the outcome of the review will be to recommend some changes to current commissioning arrangements</w:t>
      </w:r>
      <w:r w:rsidR="00500C65">
        <w:t xml:space="preserve"> into the future and will be subject to a further report to members.</w:t>
      </w:r>
    </w:p>
    <w:p w14:paraId="0BE6693E" w14:textId="106172DC" w:rsidR="00F3062B" w:rsidRDefault="00F3062B" w:rsidP="00B93809">
      <w:pPr>
        <w:pStyle w:val="ListParagraph"/>
        <w:numPr>
          <w:ilvl w:val="0"/>
          <w:numId w:val="7"/>
        </w:numPr>
      </w:pPr>
      <w:r>
        <w:t xml:space="preserve">It is recommended that the </w:t>
      </w:r>
      <w:r w:rsidR="00500C65">
        <w:t>Interim Director</w:t>
      </w:r>
      <w:r>
        <w:t xml:space="preserve"> of Housing has the delegated authority, in consultation with the Portfolio holder, to administer any necessary changes to these allocations.   </w:t>
      </w:r>
    </w:p>
    <w:p w14:paraId="41AA6DE4" w14:textId="77777777" w:rsidR="00B228C5" w:rsidRDefault="00B228C5" w:rsidP="00BF0497">
      <w:pPr>
        <w:spacing w:after="0"/>
        <w:rPr>
          <w:b/>
        </w:rPr>
      </w:pPr>
    </w:p>
    <w:p w14:paraId="42469A12" w14:textId="77777777" w:rsidR="00B228C5" w:rsidRDefault="00B228C5" w:rsidP="00BF0497">
      <w:pPr>
        <w:spacing w:after="0"/>
        <w:rPr>
          <w:b/>
        </w:rPr>
      </w:pPr>
    </w:p>
    <w:p w14:paraId="21601AD6" w14:textId="77777777" w:rsidR="00F3062B" w:rsidRDefault="00F3062B" w:rsidP="00BF0497">
      <w:pPr>
        <w:spacing w:after="0"/>
        <w:rPr>
          <w:b/>
        </w:rPr>
      </w:pPr>
      <w:r w:rsidRPr="00C81D76">
        <w:rPr>
          <w:b/>
        </w:rPr>
        <w:lastRenderedPageBreak/>
        <w:t>Financial implications</w:t>
      </w:r>
    </w:p>
    <w:p w14:paraId="7EF236C4" w14:textId="77777777" w:rsidR="00BF0497" w:rsidRDefault="00BF0497" w:rsidP="00BF0497">
      <w:pPr>
        <w:spacing w:after="0"/>
        <w:rPr>
          <w:b/>
        </w:rPr>
      </w:pPr>
    </w:p>
    <w:p w14:paraId="2D2BF1CB" w14:textId="1700419F" w:rsidR="00F3062B" w:rsidRPr="00BF0497" w:rsidRDefault="00F3062B" w:rsidP="00B93809">
      <w:pPr>
        <w:pStyle w:val="ListParagraph"/>
        <w:numPr>
          <w:ilvl w:val="0"/>
          <w:numId w:val="7"/>
        </w:numPr>
      </w:pPr>
      <w:r w:rsidRPr="00BF0497">
        <w:t xml:space="preserve">The </w:t>
      </w:r>
      <w:r w:rsidR="00BF0497" w:rsidRPr="00BF0497">
        <w:t xml:space="preserve">net </w:t>
      </w:r>
      <w:r w:rsidRPr="00BF0497">
        <w:t>budgeted spend on homelessness prevention for 20</w:t>
      </w:r>
      <w:r w:rsidR="00B214DB" w:rsidRPr="00BF0497">
        <w:t>20/21</w:t>
      </w:r>
      <w:r w:rsidRPr="00BF0497">
        <w:t xml:space="preserve"> is estimated at </w:t>
      </w:r>
      <w:r w:rsidR="007A7FF2" w:rsidRPr="00BF0497">
        <w:t>£</w:t>
      </w:r>
      <w:r w:rsidR="00BF0497" w:rsidRPr="00BF0497">
        <w:rPr>
          <w:rFonts w:cs="Arial"/>
          <w:b/>
          <w:bCs/>
          <w:color w:val="auto"/>
        </w:rPr>
        <w:t>1,431,842</w:t>
      </w:r>
      <w:r w:rsidR="00671F38" w:rsidRPr="00BF0497">
        <w:t xml:space="preserve"> </w:t>
      </w:r>
      <w:r w:rsidR="00476C25">
        <w:t>funded as follows</w:t>
      </w:r>
      <w:r w:rsidRPr="00BF0497">
        <w:t>:</w:t>
      </w:r>
    </w:p>
    <w:tbl>
      <w:tblPr>
        <w:tblStyle w:val="TableGrid"/>
        <w:tblW w:w="0" w:type="auto"/>
        <w:tblInd w:w="360" w:type="dxa"/>
        <w:tblLook w:val="04A0" w:firstRow="1" w:lastRow="0" w:firstColumn="1" w:lastColumn="0" w:noHBand="0" w:noVBand="1"/>
      </w:tblPr>
      <w:tblGrid>
        <w:gridCol w:w="2652"/>
        <w:gridCol w:w="1666"/>
        <w:gridCol w:w="4531"/>
      </w:tblGrid>
      <w:tr w:rsidR="00476C25" w:rsidRPr="00286A7D" w14:paraId="51D0A269" w14:textId="77777777" w:rsidTr="00476C25">
        <w:tc>
          <w:tcPr>
            <w:tcW w:w="2652" w:type="dxa"/>
            <w:shd w:val="clear" w:color="auto" w:fill="D9D9D9" w:themeFill="background1" w:themeFillShade="D9"/>
          </w:tcPr>
          <w:p w14:paraId="09E7C481" w14:textId="77777777" w:rsidR="00476C25" w:rsidRPr="00286A7D" w:rsidRDefault="00476C25" w:rsidP="00286A7D">
            <w:pPr>
              <w:pStyle w:val="ListParagraph"/>
              <w:numPr>
                <w:ilvl w:val="0"/>
                <w:numId w:val="0"/>
              </w:numPr>
              <w:spacing w:before="60" w:after="60"/>
              <w:rPr>
                <w:b/>
              </w:rPr>
            </w:pPr>
            <w:r w:rsidRPr="00286A7D">
              <w:rPr>
                <w:b/>
              </w:rPr>
              <w:t>Item</w:t>
            </w:r>
          </w:p>
        </w:tc>
        <w:tc>
          <w:tcPr>
            <w:tcW w:w="1666" w:type="dxa"/>
            <w:shd w:val="clear" w:color="auto" w:fill="D9D9D9" w:themeFill="background1" w:themeFillShade="D9"/>
          </w:tcPr>
          <w:p w14:paraId="1B6A2E7B" w14:textId="6A95EA6E" w:rsidR="00476C25" w:rsidRPr="00286A7D" w:rsidRDefault="00476C25" w:rsidP="00286A7D">
            <w:pPr>
              <w:pStyle w:val="ListParagraph"/>
              <w:numPr>
                <w:ilvl w:val="0"/>
                <w:numId w:val="0"/>
              </w:numPr>
              <w:spacing w:before="60" w:after="60"/>
              <w:rPr>
                <w:b/>
              </w:rPr>
            </w:pPr>
            <w:r w:rsidRPr="00286A7D">
              <w:rPr>
                <w:b/>
              </w:rPr>
              <w:t>£’s</w:t>
            </w:r>
          </w:p>
        </w:tc>
        <w:tc>
          <w:tcPr>
            <w:tcW w:w="4531" w:type="dxa"/>
            <w:shd w:val="clear" w:color="auto" w:fill="D9D9D9" w:themeFill="background1" w:themeFillShade="D9"/>
          </w:tcPr>
          <w:p w14:paraId="5385DF34" w14:textId="77777777" w:rsidR="00476C25" w:rsidRPr="00286A7D" w:rsidRDefault="00476C25" w:rsidP="00286A7D">
            <w:pPr>
              <w:pStyle w:val="ListParagraph"/>
              <w:numPr>
                <w:ilvl w:val="0"/>
                <w:numId w:val="0"/>
              </w:numPr>
              <w:spacing w:before="60" w:after="60"/>
              <w:rPr>
                <w:b/>
              </w:rPr>
            </w:pPr>
            <w:r w:rsidRPr="00286A7D">
              <w:rPr>
                <w:b/>
              </w:rPr>
              <w:t>Notes</w:t>
            </w:r>
          </w:p>
        </w:tc>
      </w:tr>
      <w:tr w:rsidR="00476C25" w:rsidRPr="00BF0497" w14:paraId="656DC02A" w14:textId="77777777" w:rsidTr="00476C25">
        <w:tc>
          <w:tcPr>
            <w:tcW w:w="2652" w:type="dxa"/>
          </w:tcPr>
          <w:p w14:paraId="4BF36BCA" w14:textId="77777777" w:rsidR="00476C25" w:rsidRPr="00BF0497" w:rsidRDefault="00476C25" w:rsidP="006419EF">
            <w:pPr>
              <w:pStyle w:val="ListParagraph"/>
              <w:numPr>
                <w:ilvl w:val="0"/>
                <w:numId w:val="0"/>
              </w:numPr>
              <w:spacing w:before="60" w:after="60"/>
              <w:rPr>
                <w:sz w:val="22"/>
                <w:szCs w:val="22"/>
              </w:rPr>
            </w:pPr>
            <w:r w:rsidRPr="00BF0497">
              <w:rPr>
                <w:sz w:val="22"/>
                <w:szCs w:val="22"/>
              </w:rPr>
              <w:t>Homelessness base budget</w:t>
            </w:r>
          </w:p>
        </w:tc>
        <w:tc>
          <w:tcPr>
            <w:tcW w:w="1666" w:type="dxa"/>
          </w:tcPr>
          <w:p w14:paraId="547AEF76" w14:textId="0D457022" w:rsidR="00476C25" w:rsidRPr="00BF0497" w:rsidRDefault="00476C25" w:rsidP="00476C25">
            <w:pPr>
              <w:pStyle w:val="ListParagraph"/>
              <w:numPr>
                <w:ilvl w:val="0"/>
                <w:numId w:val="0"/>
              </w:numPr>
              <w:spacing w:before="60" w:after="60"/>
              <w:jc w:val="right"/>
              <w:rPr>
                <w:sz w:val="22"/>
                <w:szCs w:val="22"/>
              </w:rPr>
            </w:pPr>
            <w:r w:rsidRPr="00EB151A">
              <w:rPr>
                <w:rFonts w:cs="Arial"/>
                <w:color w:val="auto"/>
                <w:sz w:val="22"/>
                <w:szCs w:val="22"/>
              </w:rPr>
              <w:t>1,</w:t>
            </w:r>
            <w:r>
              <w:rPr>
                <w:rFonts w:cs="Arial"/>
                <w:color w:val="auto"/>
                <w:sz w:val="22"/>
                <w:szCs w:val="22"/>
              </w:rPr>
              <w:t>669,559</w:t>
            </w:r>
          </w:p>
        </w:tc>
        <w:tc>
          <w:tcPr>
            <w:tcW w:w="4531" w:type="dxa"/>
          </w:tcPr>
          <w:p w14:paraId="0B415BDC" w14:textId="77777777" w:rsidR="00476C25" w:rsidRPr="00BF0497" w:rsidRDefault="00476C25" w:rsidP="006419EF">
            <w:pPr>
              <w:pStyle w:val="ListParagraph"/>
              <w:numPr>
                <w:ilvl w:val="0"/>
                <w:numId w:val="0"/>
              </w:numPr>
              <w:spacing w:before="60" w:after="60"/>
              <w:jc w:val="right"/>
              <w:rPr>
                <w:sz w:val="22"/>
                <w:szCs w:val="22"/>
              </w:rPr>
            </w:pPr>
          </w:p>
        </w:tc>
      </w:tr>
      <w:tr w:rsidR="00476C25" w:rsidRPr="00BF0497" w14:paraId="02E540CD" w14:textId="77777777" w:rsidTr="00A40213">
        <w:tc>
          <w:tcPr>
            <w:tcW w:w="2652" w:type="dxa"/>
          </w:tcPr>
          <w:p w14:paraId="6FACDAE6" w14:textId="77777777" w:rsidR="00476C25" w:rsidRPr="00BF0497" w:rsidRDefault="00476C25" w:rsidP="00A40213">
            <w:pPr>
              <w:pStyle w:val="ListParagraph"/>
              <w:numPr>
                <w:ilvl w:val="0"/>
                <w:numId w:val="0"/>
              </w:numPr>
              <w:spacing w:before="60" w:after="60"/>
              <w:rPr>
                <w:sz w:val="22"/>
                <w:szCs w:val="22"/>
              </w:rPr>
            </w:pPr>
            <w:r w:rsidRPr="00BF0497">
              <w:rPr>
                <w:sz w:val="22"/>
                <w:szCs w:val="22"/>
              </w:rPr>
              <w:t>From homelessness reserves</w:t>
            </w:r>
          </w:p>
        </w:tc>
        <w:tc>
          <w:tcPr>
            <w:tcW w:w="1666" w:type="dxa"/>
          </w:tcPr>
          <w:p w14:paraId="5556AD47" w14:textId="77777777" w:rsidR="00476C25" w:rsidRPr="00BF0497" w:rsidRDefault="00476C25" w:rsidP="00A40213">
            <w:pPr>
              <w:pStyle w:val="ListParagraph"/>
              <w:numPr>
                <w:ilvl w:val="0"/>
                <w:numId w:val="0"/>
              </w:numPr>
              <w:spacing w:before="60" w:after="60"/>
              <w:jc w:val="right"/>
              <w:rPr>
                <w:sz w:val="22"/>
                <w:szCs w:val="22"/>
              </w:rPr>
            </w:pPr>
            <w:r w:rsidRPr="00BF0497">
              <w:rPr>
                <w:sz w:val="22"/>
                <w:szCs w:val="22"/>
              </w:rPr>
              <w:t>19,030</w:t>
            </w:r>
          </w:p>
        </w:tc>
        <w:tc>
          <w:tcPr>
            <w:tcW w:w="4531" w:type="dxa"/>
          </w:tcPr>
          <w:p w14:paraId="79426337" w14:textId="77777777" w:rsidR="00476C25" w:rsidRPr="00BF0497" w:rsidRDefault="00476C25" w:rsidP="00A40213">
            <w:pPr>
              <w:pStyle w:val="ListParagraph"/>
              <w:numPr>
                <w:ilvl w:val="0"/>
                <w:numId w:val="0"/>
              </w:numPr>
              <w:spacing w:before="60" w:after="60"/>
              <w:jc w:val="right"/>
              <w:rPr>
                <w:sz w:val="22"/>
                <w:szCs w:val="22"/>
              </w:rPr>
            </w:pPr>
            <w:r w:rsidRPr="00BF0497">
              <w:rPr>
                <w:sz w:val="22"/>
                <w:szCs w:val="22"/>
              </w:rPr>
              <w:t>Increased cost of the Council’s contribution to the countywide pooled budget for Housing Related Support</w:t>
            </w:r>
          </w:p>
        </w:tc>
      </w:tr>
      <w:tr w:rsidR="00476C25" w:rsidRPr="00BF0497" w14:paraId="48BA2D01" w14:textId="77777777" w:rsidTr="00476C25">
        <w:tc>
          <w:tcPr>
            <w:tcW w:w="2652" w:type="dxa"/>
          </w:tcPr>
          <w:p w14:paraId="36EA8D3B" w14:textId="77777777" w:rsidR="00476C25" w:rsidRPr="00BF0497" w:rsidRDefault="00476C25" w:rsidP="00286A7D">
            <w:pPr>
              <w:pStyle w:val="ListParagraph"/>
              <w:numPr>
                <w:ilvl w:val="0"/>
                <w:numId w:val="0"/>
              </w:numPr>
              <w:spacing w:before="60" w:after="60"/>
              <w:rPr>
                <w:sz w:val="22"/>
                <w:szCs w:val="22"/>
              </w:rPr>
            </w:pPr>
            <w:r w:rsidRPr="00BF0497">
              <w:rPr>
                <w:sz w:val="22"/>
                <w:szCs w:val="22"/>
              </w:rPr>
              <w:t>Acacia Housing First Project</w:t>
            </w:r>
          </w:p>
        </w:tc>
        <w:tc>
          <w:tcPr>
            <w:tcW w:w="1666" w:type="dxa"/>
          </w:tcPr>
          <w:p w14:paraId="5F38E819" w14:textId="109F946D" w:rsidR="00476C25" w:rsidRPr="00BF0497" w:rsidRDefault="00476C25" w:rsidP="00286A7D">
            <w:pPr>
              <w:pStyle w:val="ListParagraph"/>
              <w:numPr>
                <w:ilvl w:val="0"/>
                <w:numId w:val="0"/>
              </w:numPr>
              <w:spacing w:before="60" w:after="60"/>
              <w:jc w:val="right"/>
              <w:rPr>
                <w:sz w:val="22"/>
                <w:szCs w:val="22"/>
              </w:rPr>
            </w:pPr>
            <w:r w:rsidRPr="00BF0497">
              <w:rPr>
                <w:sz w:val="22"/>
                <w:szCs w:val="22"/>
              </w:rPr>
              <w:t>59,750</w:t>
            </w:r>
          </w:p>
        </w:tc>
        <w:tc>
          <w:tcPr>
            <w:tcW w:w="4531" w:type="dxa"/>
          </w:tcPr>
          <w:p w14:paraId="252CF4DB" w14:textId="77777777" w:rsidR="00476C25" w:rsidRPr="00BF0497" w:rsidRDefault="00476C25" w:rsidP="00286A7D">
            <w:pPr>
              <w:pStyle w:val="ListParagraph"/>
              <w:numPr>
                <w:ilvl w:val="0"/>
                <w:numId w:val="0"/>
              </w:numPr>
              <w:spacing w:before="60" w:after="60"/>
              <w:jc w:val="right"/>
              <w:rPr>
                <w:sz w:val="22"/>
                <w:szCs w:val="22"/>
              </w:rPr>
            </w:pPr>
            <w:r w:rsidRPr="00BF0497">
              <w:rPr>
                <w:sz w:val="22"/>
                <w:szCs w:val="22"/>
              </w:rPr>
              <w:t>Raised from reserves 2016/17 towards delivery of Acacia Service</w:t>
            </w:r>
          </w:p>
        </w:tc>
      </w:tr>
      <w:tr w:rsidR="00476C25" w:rsidRPr="00BF0497" w14:paraId="2ABB95E4" w14:textId="77777777" w:rsidTr="00476C25">
        <w:tc>
          <w:tcPr>
            <w:tcW w:w="2652" w:type="dxa"/>
          </w:tcPr>
          <w:p w14:paraId="12234840" w14:textId="77777777" w:rsidR="00476C25" w:rsidRPr="00BF0497" w:rsidRDefault="00476C25" w:rsidP="00EA2DA0">
            <w:pPr>
              <w:pStyle w:val="ListParagraph"/>
              <w:numPr>
                <w:ilvl w:val="0"/>
                <w:numId w:val="0"/>
              </w:numPr>
              <w:spacing w:before="60" w:after="60"/>
              <w:rPr>
                <w:sz w:val="22"/>
                <w:szCs w:val="22"/>
              </w:rPr>
            </w:pPr>
            <w:r w:rsidRPr="00BF0497">
              <w:rPr>
                <w:sz w:val="22"/>
                <w:szCs w:val="22"/>
              </w:rPr>
              <w:t xml:space="preserve">From </w:t>
            </w:r>
            <w:r>
              <w:rPr>
                <w:sz w:val="22"/>
                <w:szCs w:val="22"/>
              </w:rPr>
              <w:t>PBR provision</w:t>
            </w:r>
            <w:r w:rsidRPr="00BF0497">
              <w:rPr>
                <w:sz w:val="22"/>
                <w:szCs w:val="22"/>
              </w:rPr>
              <w:t>s</w:t>
            </w:r>
          </w:p>
        </w:tc>
        <w:tc>
          <w:tcPr>
            <w:tcW w:w="1666" w:type="dxa"/>
          </w:tcPr>
          <w:p w14:paraId="6E978C33" w14:textId="2A89D3EA" w:rsidR="00476C25" w:rsidRPr="00BF0497" w:rsidRDefault="00476C25" w:rsidP="00EA2DA0">
            <w:pPr>
              <w:pStyle w:val="ListParagraph"/>
              <w:numPr>
                <w:ilvl w:val="0"/>
                <w:numId w:val="0"/>
              </w:numPr>
              <w:spacing w:before="60" w:after="60"/>
              <w:jc w:val="right"/>
              <w:rPr>
                <w:sz w:val="22"/>
                <w:szCs w:val="22"/>
              </w:rPr>
            </w:pPr>
            <w:r>
              <w:t>51,299</w:t>
            </w:r>
          </w:p>
        </w:tc>
        <w:tc>
          <w:tcPr>
            <w:tcW w:w="4531" w:type="dxa"/>
          </w:tcPr>
          <w:p w14:paraId="46EA6F45" w14:textId="77777777" w:rsidR="00476C25" w:rsidRPr="00BF0497" w:rsidRDefault="00476C25" w:rsidP="00BF0497">
            <w:pPr>
              <w:pStyle w:val="ListParagraph"/>
              <w:numPr>
                <w:ilvl w:val="0"/>
                <w:numId w:val="0"/>
              </w:numPr>
              <w:spacing w:before="60" w:after="60"/>
              <w:jc w:val="right"/>
              <w:rPr>
                <w:sz w:val="22"/>
                <w:szCs w:val="22"/>
              </w:rPr>
            </w:pPr>
            <w:r w:rsidRPr="00BF0497">
              <w:rPr>
                <w:sz w:val="22"/>
                <w:szCs w:val="22"/>
              </w:rPr>
              <w:t>To provide for the full year cost of the services outlined at Appendix D.</w:t>
            </w:r>
          </w:p>
        </w:tc>
      </w:tr>
      <w:tr w:rsidR="00476C25" w:rsidRPr="00BF0497" w14:paraId="5D4A1F88" w14:textId="77777777" w:rsidTr="00476C25">
        <w:tc>
          <w:tcPr>
            <w:tcW w:w="2652" w:type="dxa"/>
          </w:tcPr>
          <w:p w14:paraId="79720DE9" w14:textId="5BB277BB" w:rsidR="00476C25" w:rsidRPr="00BF0497" w:rsidRDefault="00476C25" w:rsidP="00286A7D">
            <w:pPr>
              <w:pStyle w:val="ListParagraph"/>
              <w:numPr>
                <w:ilvl w:val="0"/>
                <w:numId w:val="0"/>
              </w:numPr>
              <w:spacing w:before="60" w:after="60"/>
              <w:rPr>
                <w:sz w:val="22"/>
                <w:szCs w:val="22"/>
              </w:rPr>
            </w:pPr>
            <w:r>
              <w:rPr>
                <w:sz w:val="22"/>
                <w:szCs w:val="22"/>
              </w:rPr>
              <w:t>C</w:t>
            </w:r>
            <w:r w:rsidRPr="00BF0497">
              <w:rPr>
                <w:sz w:val="22"/>
                <w:szCs w:val="22"/>
              </w:rPr>
              <w:t>ontribution</w:t>
            </w:r>
            <w:r>
              <w:rPr>
                <w:sz w:val="22"/>
                <w:szCs w:val="22"/>
              </w:rPr>
              <w:t xml:space="preserve"> from Community Services Budget</w:t>
            </w:r>
          </w:p>
        </w:tc>
        <w:tc>
          <w:tcPr>
            <w:tcW w:w="1666" w:type="dxa"/>
          </w:tcPr>
          <w:p w14:paraId="278CABCB" w14:textId="2991A310" w:rsidR="00476C25" w:rsidRPr="00BF0497" w:rsidRDefault="00476C25" w:rsidP="00286A7D">
            <w:pPr>
              <w:pStyle w:val="ListParagraph"/>
              <w:numPr>
                <w:ilvl w:val="0"/>
                <w:numId w:val="0"/>
              </w:numPr>
              <w:spacing w:before="60" w:after="60"/>
              <w:jc w:val="right"/>
              <w:rPr>
                <w:sz w:val="22"/>
                <w:szCs w:val="22"/>
              </w:rPr>
            </w:pPr>
            <w:r w:rsidRPr="00BF0497">
              <w:rPr>
                <w:sz w:val="22"/>
                <w:szCs w:val="22"/>
              </w:rPr>
              <w:t>5,000</w:t>
            </w:r>
          </w:p>
        </w:tc>
        <w:tc>
          <w:tcPr>
            <w:tcW w:w="4531" w:type="dxa"/>
          </w:tcPr>
          <w:p w14:paraId="5AA73FDE" w14:textId="77777777" w:rsidR="00476C25" w:rsidRPr="00BF0497" w:rsidRDefault="00476C25" w:rsidP="00286A7D">
            <w:pPr>
              <w:pStyle w:val="ListParagraph"/>
              <w:numPr>
                <w:ilvl w:val="0"/>
                <w:numId w:val="0"/>
              </w:numPr>
              <w:spacing w:before="60" w:after="60"/>
              <w:jc w:val="right"/>
              <w:rPr>
                <w:sz w:val="22"/>
                <w:szCs w:val="22"/>
              </w:rPr>
            </w:pPr>
            <w:r w:rsidRPr="00BF0497">
              <w:rPr>
                <w:sz w:val="22"/>
                <w:szCs w:val="22"/>
              </w:rPr>
              <w:t>To Access to Leisure Project</w:t>
            </w:r>
          </w:p>
        </w:tc>
      </w:tr>
      <w:tr w:rsidR="00476C25" w:rsidRPr="00BF0497" w14:paraId="186FEB76" w14:textId="77777777" w:rsidTr="00476C25">
        <w:tc>
          <w:tcPr>
            <w:tcW w:w="2652" w:type="dxa"/>
          </w:tcPr>
          <w:p w14:paraId="7FA89638" w14:textId="77777777" w:rsidR="00476C25" w:rsidRPr="00BF0497" w:rsidRDefault="00476C25" w:rsidP="00286A7D">
            <w:pPr>
              <w:pStyle w:val="ListParagraph"/>
              <w:numPr>
                <w:ilvl w:val="0"/>
                <w:numId w:val="0"/>
              </w:numPr>
              <w:spacing w:before="60" w:after="60"/>
              <w:rPr>
                <w:sz w:val="22"/>
                <w:szCs w:val="22"/>
              </w:rPr>
            </w:pPr>
            <w:r w:rsidRPr="00BF0497">
              <w:rPr>
                <w:sz w:val="22"/>
                <w:szCs w:val="22"/>
              </w:rPr>
              <w:t xml:space="preserve">SWEP provision </w:t>
            </w:r>
          </w:p>
        </w:tc>
        <w:tc>
          <w:tcPr>
            <w:tcW w:w="1666" w:type="dxa"/>
          </w:tcPr>
          <w:p w14:paraId="0197DF2E" w14:textId="741F2B5C" w:rsidR="00476C25" w:rsidRPr="00BF0497" w:rsidRDefault="00476C25" w:rsidP="00286A7D">
            <w:pPr>
              <w:pStyle w:val="ListParagraph"/>
              <w:numPr>
                <w:ilvl w:val="0"/>
                <w:numId w:val="0"/>
              </w:numPr>
              <w:spacing w:before="60" w:after="60"/>
              <w:jc w:val="right"/>
              <w:rPr>
                <w:sz w:val="22"/>
                <w:szCs w:val="22"/>
              </w:rPr>
            </w:pPr>
            <w:r w:rsidRPr="00BF0497">
              <w:rPr>
                <w:sz w:val="22"/>
                <w:szCs w:val="22"/>
              </w:rPr>
              <w:t>3,000</w:t>
            </w:r>
          </w:p>
        </w:tc>
        <w:tc>
          <w:tcPr>
            <w:tcW w:w="4531" w:type="dxa"/>
          </w:tcPr>
          <w:p w14:paraId="3A598C80" w14:textId="77777777" w:rsidR="00476C25" w:rsidRPr="00BF0497" w:rsidRDefault="00476C25" w:rsidP="00286A7D">
            <w:pPr>
              <w:pStyle w:val="ListParagraph"/>
              <w:numPr>
                <w:ilvl w:val="0"/>
                <w:numId w:val="0"/>
              </w:numPr>
              <w:spacing w:before="60" w:after="60"/>
              <w:jc w:val="right"/>
              <w:rPr>
                <w:sz w:val="22"/>
                <w:szCs w:val="22"/>
              </w:rPr>
            </w:pPr>
            <w:r w:rsidRPr="00BF0497">
              <w:rPr>
                <w:sz w:val="22"/>
                <w:szCs w:val="22"/>
              </w:rPr>
              <w:t>Contribution from District Councils</w:t>
            </w:r>
          </w:p>
        </w:tc>
      </w:tr>
      <w:tr w:rsidR="00476C25" w:rsidRPr="00BF0497" w14:paraId="653895CD" w14:textId="77777777" w:rsidTr="00476C25">
        <w:tc>
          <w:tcPr>
            <w:tcW w:w="2652" w:type="dxa"/>
            <w:shd w:val="clear" w:color="auto" w:fill="D9D9D9" w:themeFill="background1" w:themeFillShade="D9"/>
          </w:tcPr>
          <w:p w14:paraId="18A8CE75" w14:textId="77777777" w:rsidR="00476C25" w:rsidRPr="00BF0497" w:rsidRDefault="00476C25" w:rsidP="00286A7D">
            <w:pPr>
              <w:pStyle w:val="ListParagraph"/>
              <w:numPr>
                <w:ilvl w:val="0"/>
                <w:numId w:val="0"/>
              </w:numPr>
              <w:spacing w:before="60" w:after="60"/>
              <w:rPr>
                <w:sz w:val="22"/>
                <w:szCs w:val="22"/>
              </w:rPr>
            </w:pPr>
          </w:p>
        </w:tc>
        <w:tc>
          <w:tcPr>
            <w:tcW w:w="1666" w:type="dxa"/>
            <w:shd w:val="clear" w:color="auto" w:fill="D9D9D9" w:themeFill="background1" w:themeFillShade="D9"/>
          </w:tcPr>
          <w:p w14:paraId="1F052803" w14:textId="321B91CE" w:rsidR="00476C25" w:rsidRPr="00BF0497" w:rsidRDefault="00476C25" w:rsidP="00286A7D">
            <w:pPr>
              <w:pStyle w:val="ListParagraph"/>
              <w:numPr>
                <w:ilvl w:val="0"/>
                <w:numId w:val="0"/>
              </w:numPr>
              <w:spacing w:before="60" w:after="60"/>
              <w:jc w:val="right"/>
              <w:rPr>
                <w:sz w:val="22"/>
                <w:szCs w:val="22"/>
              </w:rPr>
            </w:pPr>
          </w:p>
        </w:tc>
        <w:tc>
          <w:tcPr>
            <w:tcW w:w="4531" w:type="dxa"/>
            <w:shd w:val="clear" w:color="auto" w:fill="D9D9D9" w:themeFill="background1" w:themeFillShade="D9"/>
          </w:tcPr>
          <w:p w14:paraId="23DCB5D6" w14:textId="77777777" w:rsidR="00476C25" w:rsidRPr="00BF0497" w:rsidRDefault="00476C25" w:rsidP="00286A7D">
            <w:pPr>
              <w:pStyle w:val="ListParagraph"/>
              <w:numPr>
                <w:ilvl w:val="0"/>
                <w:numId w:val="0"/>
              </w:numPr>
              <w:spacing w:before="60" w:after="60"/>
              <w:jc w:val="right"/>
              <w:rPr>
                <w:sz w:val="22"/>
                <w:szCs w:val="22"/>
              </w:rPr>
            </w:pPr>
          </w:p>
        </w:tc>
      </w:tr>
      <w:tr w:rsidR="00476C25" w:rsidRPr="00BF0497" w14:paraId="0729672C" w14:textId="77777777" w:rsidTr="00476C25">
        <w:tc>
          <w:tcPr>
            <w:tcW w:w="2652" w:type="dxa"/>
          </w:tcPr>
          <w:p w14:paraId="46D7C91E" w14:textId="77777777" w:rsidR="00476C25" w:rsidRPr="00BF0497" w:rsidRDefault="00476C25" w:rsidP="00286A7D">
            <w:pPr>
              <w:pStyle w:val="ListParagraph"/>
              <w:numPr>
                <w:ilvl w:val="0"/>
                <w:numId w:val="0"/>
              </w:numPr>
              <w:spacing w:before="60" w:after="60"/>
              <w:rPr>
                <w:b/>
                <w:sz w:val="22"/>
                <w:szCs w:val="22"/>
              </w:rPr>
            </w:pPr>
            <w:r w:rsidRPr="00BF0497">
              <w:rPr>
                <w:b/>
                <w:sz w:val="22"/>
                <w:szCs w:val="22"/>
              </w:rPr>
              <w:t>Total</w:t>
            </w:r>
          </w:p>
        </w:tc>
        <w:tc>
          <w:tcPr>
            <w:tcW w:w="1666" w:type="dxa"/>
          </w:tcPr>
          <w:p w14:paraId="5F4B5019" w14:textId="54E593BB" w:rsidR="00476C25" w:rsidRPr="00BF0497" w:rsidRDefault="00476C25" w:rsidP="00554483">
            <w:pPr>
              <w:pStyle w:val="ListParagraph"/>
              <w:numPr>
                <w:ilvl w:val="0"/>
                <w:numId w:val="0"/>
              </w:numPr>
              <w:spacing w:before="60" w:after="60"/>
              <w:jc w:val="right"/>
              <w:rPr>
                <w:b/>
                <w:sz w:val="22"/>
                <w:szCs w:val="22"/>
              </w:rPr>
            </w:pPr>
            <w:r w:rsidRPr="00236854">
              <w:rPr>
                <w:b/>
              </w:rPr>
              <w:t>£1,</w:t>
            </w:r>
            <w:r>
              <w:rPr>
                <w:b/>
              </w:rPr>
              <w:t>807,638</w:t>
            </w:r>
          </w:p>
        </w:tc>
        <w:tc>
          <w:tcPr>
            <w:tcW w:w="4531" w:type="dxa"/>
          </w:tcPr>
          <w:p w14:paraId="674CC4DE" w14:textId="77777777" w:rsidR="00476C25" w:rsidRPr="00BF0497" w:rsidRDefault="00476C25" w:rsidP="00286A7D">
            <w:pPr>
              <w:pStyle w:val="ListParagraph"/>
              <w:numPr>
                <w:ilvl w:val="0"/>
                <w:numId w:val="0"/>
              </w:numPr>
              <w:spacing w:before="60" w:after="60"/>
              <w:jc w:val="right"/>
              <w:rPr>
                <w:b/>
                <w:sz w:val="22"/>
                <w:szCs w:val="22"/>
              </w:rPr>
            </w:pPr>
          </w:p>
        </w:tc>
      </w:tr>
      <w:tr w:rsidR="00476C25" w:rsidRPr="00BF0497" w14:paraId="04C92398" w14:textId="77777777" w:rsidTr="00476C25">
        <w:tc>
          <w:tcPr>
            <w:tcW w:w="2652" w:type="dxa"/>
          </w:tcPr>
          <w:p w14:paraId="5A67B363" w14:textId="77777777" w:rsidR="00476C25" w:rsidRPr="00BF0497" w:rsidRDefault="00476C25" w:rsidP="00286A7D">
            <w:pPr>
              <w:pStyle w:val="ListParagraph"/>
              <w:numPr>
                <w:ilvl w:val="0"/>
                <w:numId w:val="0"/>
              </w:numPr>
              <w:spacing w:before="60" w:after="60"/>
              <w:rPr>
                <w:b/>
                <w:sz w:val="22"/>
                <w:szCs w:val="22"/>
              </w:rPr>
            </w:pPr>
          </w:p>
        </w:tc>
        <w:tc>
          <w:tcPr>
            <w:tcW w:w="1666" w:type="dxa"/>
          </w:tcPr>
          <w:p w14:paraId="5759C3D7" w14:textId="5D46A734" w:rsidR="00476C25" w:rsidRPr="00BF0497" w:rsidRDefault="00476C25" w:rsidP="00BD774B">
            <w:pPr>
              <w:pStyle w:val="ListParagraph"/>
              <w:numPr>
                <w:ilvl w:val="0"/>
                <w:numId w:val="0"/>
              </w:numPr>
              <w:spacing w:before="60" w:after="60"/>
              <w:jc w:val="right"/>
              <w:rPr>
                <w:b/>
                <w:sz w:val="22"/>
                <w:szCs w:val="22"/>
              </w:rPr>
            </w:pPr>
            <w:r w:rsidRPr="00BF0497">
              <w:rPr>
                <w:b/>
                <w:sz w:val="22"/>
                <w:szCs w:val="22"/>
              </w:rPr>
              <w:t>-405,796</w:t>
            </w:r>
          </w:p>
        </w:tc>
        <w:tc>
          <w:tcPr>
            <w:tcW w:w="4531" w:type="dxa"/>
          </w:tcPr>
          <w:p w14:paraId="29BAF802" w14:textId="77777777" w:rsidR="00476C25" w:rsidRPr="00BF0497" w:rsidRDefault="00476C25" w:rsidP="00286A7D">
            <w:pPr>
              <w:pStyle w:val="ListParagraph"/>
              <w:numPr>
                <w:ilvl w:val="0"/>
                <w:numId w:val="0"/>
              </w:numPr>
              <w:spacing w:before="60" w:after="60"/>
              <w:jc w:val="right"/>
              <w:rPr>
                <w:sz w:val="22"/>
                <w:szCs w:val="22"/>
              </w:rPr>
            </w:pPr>
            <w:r w:rsidRPr="00BF0497">
              <w:rPr>
                <w:sz w:val="22"/>
                <w:szCs w:val="22"/>
              </w:rPr>
              <w:t>Less contribution to Floyds Row</w:t>
            </w:r>
          </w:p>
        </w:tc>
      </w:tr>
      <w:tr w:rsidR="00476C25" w:rsidRPr="00BF0497" w14:paraId="613DDD3D" w14:textId="77777777" w:rsidTr="00476C25">
        <w:tc>
          <w:tcPr>
            <w:tcW w:w="2652" w:type="dxa"/>
          </w:tcPr>
          <w:p w14:paraId="336740E8" w14:textId="77777777" w:rsidR="00476C25" w:rsidRPr="00BF0497" w:rsidRDefault="00476C25" w:rsidP="00286A7D">
            <w:pPr>
              <w:pStyle w:val="ListParagraph"/>
              <w:numPr>
                <w:ilvl w:val="0"/>
                <w:numId w:val="0"/>
              </w:numPr>
              <w:spacing w:before="60" w:after="60"/>
              <w:rPr>
                <w:b/>
                <w:sz w:val="22"/>
                <w:szCs w:val="22"/>
              </w:rPr>
            </w:pPr>
            <w:r w:rsidRPr="00BF0497">
              <w:rPr>
                <w:b/>
                <w:sz w:val="22"/>
                <w:szCs w:val="22"/>
              </w:rPr>
              <w:t>NET TOTAL BUDGET</w:t>
            </w:r>
          </w:p>
        </w:tc>
        <w:tc>
          <w:tcPr>
            <w:tcW w:w="1666" w:type="dxa"/>
          </w:tcPr>
          <w:p w14:paraId="1B31D116" w14:textId="02B2F45E" w:rsidR="00476C25" w:rsidRPr="00BF0497" w:rsidRDefault="00476C25" w:rsidP="00554483">
            <w:pPr>
              <w:pStyle w:val="ListParagraph"/>
              <w:numPr>
                <w:ilvl w:val="0"/>
                <w:numId w:val="0"/>
              </w:numPr>
              <w:spacing w:before="60" w:after="60"/>
              <w:jc w:val="right"/>
              <w:rPr>
                <w:b/>
                <w:sz w:val="22"/>
                <w:szCs w:val="22"/>
              </w:rPr>
            </w:pPr>
            <w:r>
              <w:rPr>
                <w:b/>
              </w:rPr>
              <w:t>£</w:t>
            </w:r>
            <w:r w:rsidRPr="006F273C">
              <w:rPr>
                <w:b/>
              </w:rPr>
              <w:t>1,</w:t>
            </w:r>
            <w:r>
              <w:rPr>
                <w:b/>
              </w:rPr>
              <w:t>401,842</w:t>
            </w:r>
          </w:p>
        </w:tc>
        <w:tc>
          <w:tcPr>
            <w:tcW w:w="4531" w:type="dxa"/>
          </w:tcPr>
          <w:p w14:paraId="612EF36F" w14:textId="77777777" w:rsidR="00476C25" w:rsidRPr="00BF0497" w:rsidRDefault="00476C25" w:rsidP="00286A7D">
            <w:pPr>
              <w:pStyle w:val="ListParagraph"/>
              <w:numPr>
                <w:ilvl w:val="0"/>
                <w:numId w:val="0"/>
              </w:numPr>
              <w:spacing w:before="60" w:after="60"/>
              <w:jc w:val="right"/>
              <w:rPr>
                <w:b/>
                <w:sz w:val="22"/>
                <w:szCs w:val="22"/>
              </w:rPr>
            </w:pPr>
          </w:p>
        </w:tc>
      </w:tr>
    </w:tbl>
    <w:p w14:paraId="1D5D46ED" w14:textId="77777777" w:rsidR="00F3062B" w:rsidRPr="001356F1" w:rsidRDefault="00F3062B" w:rsidP="009F01C0">
      <w:pPr>
        <w:pStyle w:val="Heading1"/>
        <w:numPr>
          <w:ilvl w:val="0"/>
          <w:numId w:val="0"/>
        </w:numPr>
        <w:ind w:left="431" w:hanging="431"/>
      </w:pPr>
      <w:r w:rsidRPr="00226587">
        <w:t>Performance monitoring</w:t>
      </w:r>
    </w:p>
    <w:p w14:paraId="1E76BCCE" w14:textId="77777777" w:rsidR="007B28F7" w:rsidRPr="002F4FD0" w:rsidRDefault="00F3062B" w:rsidP="00B93809">
      <w:pPr>
        <w:pStyle w:val="ListParagraph"/>
        <w:numPr>
          <w:ilvl w:val="0"/>
          <w:numId w:val="7"/>
        </w:numPr>
      </w:pPr>
      <w:r w:rsidRPr="002F4FD0">
        <w:t>In distributing this budget, the Council will ensure that there are clear outcomes and targets in each organisation’s service specification which are reported on quarterly</w:t>
      </w:r>
      <w:r w:rsidR="007B28F7" w:rsidRPr="002F4FD0">
        <w:t xml:space="preserve">. </w:t>
      </w:r>
    </w:p>
    <w:p w14:paraId="4C35E1FC" w14:textId="77777777" w:rsidR="00F3062B" w:rsidRPr="002F4FD0" w:rsidRDefault="002F4FD0" w:rsidP="00B93809">
      <w:pPr>
        <w:pStyle w:val="ListParagraph"/>
        <w:numPr>
          <w:ilvl w:val="0"/>
          <w:numId w:val="7"/>
        </w:numPr>
      </w:pPr>
      <w:r>
        <w:t>Officers will schedule q</w:t>
      </w:r>
      <w:r w:rsidR="00F3062B">
        <w:t>uarterly</w:t>
      </w:r>
      <w:r w:rsidR="007D37B5">
        <w:t xml:space="preserve">, </w:t>
      </w:r>
      <w:r w:rsidR="007B28F7">
        <w:t>6</w:t>
      </w:r>
      <w:r w:rsidR="007D37B5">
        <w:t>-</w:t>
      </w:r>
      <w:r w:rsidR="007B28F7">
        <w:t>monthly</w:t>
      </w:r>
      <w:r w:rsidR="007D37B5">
        <w:t xml:space="preserve"> or annual</w:t>
      </w:r>
      <w:r w:rsidR="007B28F7">
        <w:t xml:space="preserve"> </w:t>
      </w:r>
      <w:r w:rsidR="00F3062B">
        <w:t>performance monitoring meetings with all services to ensure that outcomes and targets are achieved and issues are addressed in a timely and professional manner</w:t>
      </w:r>
      <w:r w:rsidR="00F3062B" w:rsidRPr="00183D3A">
        <w:t>.</w:t>
      </w:r>
    </w:p>
    <w:p w14:paraId="4A2B4E66" w14:textId="77777777" w:rsidR="002F4FD0" w:rsidRPr="002F4FD0" w:rsidRDefault="002F4FD0" w:rsidP="00B93809">
      <w:pPr>
        <w:pStyle w:val="ListParagraph"/>
        <w:numPr>
          <w:ilvl w:val="0"/>
          <w:numId w:val="7"/>
        </w:numPr>
      </w:pPr>
      <w:r>
        <w:t>T</w:t>
      </w:r>
      <w:r w:rsidRPr="002F4FD0">
        <w:t xml:space="preserve">he Rough Sleeping and Single Homelessness Team </w:t>
      </w:r>
      <w:r>
        <w:t>will also prepare a</w:t>
      </w:r>
      <w:r w:rsidRPr="002F4FD0">
        <w:t xml:space="preserve">n executive summary of </w:t>
      </w:r>
      <w:r>
        <w:t xml:space="preserve">the collated </w:t>
      </w:r>
      <w:r w:rsidRPr="002F4FD0">
        <w:t xml:space="preserve">performance </w:t>
      </w:r>
      <w:r>
        <w:t>data which will be shared with the Preventing Homelessness Group</w:t>
      </w:r>
      <w:r w:rsidR="004167AA">
        <w:t xml:space="preserve"> and Portfolio Holder</w:t>
      </w:r>
      <w:r>
        <w:t xml:space="preserve"> on a </w:t>
      </w:r>
      <w:r w:rsidRPr="002F4FD0">
        <w:t xml:space="preserve">quarterly basis. </w:t>
      </w:r>
    </w:p>
    <w:p w14:paraId="7A6B6E53" w14:textId="77777777" w:rsidR="00F3062B" w:rsidRDefault="00F3062B" w:rsidP="00F3062B">
      <w:pPr>
        <w:pStyle w:val="Heading1"/>
        <w:numPr>
          <w:ilvl w:val="0"/>
          <w:numId w:val="0"/>
        </w:numPr>
        <w:ind w:left="432" w:hanging="432"/>
      </w:pPr>
      <w:r w:rsidRPr="001356F1">
        <w:t>Legal issues</w:t>
      </w:r>
    </w:p>
    <w:p w14:paraId="3A188896" w14:textId="24656FFB" w:rsidR="00C425DD" w:rsidRPr="00C425DD" w:rsidRDefault="00C425DD" w:rsidP="00B93809">
      <w:pPr>
        <w:pStyle w:val="ListParagraph"/>
        <w:numPr>
          <w:ilvl w:val="0"/>
          <w:numId w:val="7"/>
        </w:numPr>
      </w:pPr>
      <w:r w:rsidRPr="00C425DD">
        <w:t>The Homelessness Reduction Act 2017</w:t>
      </w:r>
      <w:r>
        <w:t xml:space="preserve"> </w:t>
      </w:r>
      <w:r w:rsidRPr="00C425DD">
        <w:t xml:space="preserve">has made significant changes to </w:t>
      </w:r>
      <w:r>
        <w:t xml:space="preserve">Council’s homelessness duties under </w:t>
      </w:r>
      <w:r w:rsidRPr="00C425DD">
        <w:t>Part 7 of the Housing Act 1996. Its main effect is to place increased duties on local authorities to assess an applicant's needs and to prevent and relieve homelessness.</w:t>
      </w:r>
    </w:p>
    <w:p w14:paraId="06746D1A" w14:textId="77777777" w:rsidR="00F3062B" w:rsidRDefault="00F3062B" w:rsidP="00B93809">
      <w:pPr>
        <w:pStyle w:val="ListParagraph"/>
        <w:numPr>
          <w:ilvl w:val="0"/>
          <w:numId w:val="7"/>
        </w:numPr>
      </w:pPr>
      <w:r w:rsidRPr="00A9491C">
        <w:t>All services funded from Homelessness Prevention Funds have Service Level Agreements in place. The SLAs covers obligations for services as well as consequences for not fulfilling these obligations.</w:t>
      </w:r>
    </w:p>
    <w:p w14:paraId="0ACC3307" w14:textId="77777777" w:rsidR="00B93809" w:rsidRDefault="00B93809" w:rsidP="00B93809"/>
    <w:p w14:paraId="24C3F7E9" w14:textId="77777777" w:rsidR="00C00A2E" w:rsidRPr="00A9491C" w:rsidRDefault="00C00A2E" w:rsidP="00B93809">
      <w:bookmarkStart w:id="0" w:name="_GoBack"/>
      <w:bookmarkEnd w:id="0"/>
    </w:p>
    <w:p w14:paraId="3B8A372B" w14:textId="77777777" w:rsidR="00F3062B" w:rsidRPr="001356F1" w:rsidRDefault="00F3062B" w:rsidP="00F3062B">
      <w:pPr>
        <w:pStyle w:val="Heading1"/>
        <w:numPr>
          <w:ilvl w:val="0"/>
          <w:numId w:val="0"/>
        </w:numPr>
        <w:ind w:left="432" w:hanging="432"/>
      </w:pPr>
      <w:r w:rsidRPr="001356F1">
        <w:lastRenderedPageBreak/>
        <w:t>Level of risk</w:t>
      </w:r>
    </w:p>
    <w:p w14:paraId="4073335B" w14:textId="77777777" w:rsidR="00F3062B" w:rsidRPr="001356F1" w:rsidRDefault="00F3062B" w:rsidP="00B93809">
      <w:pPr>
        <w:pStyle w:val="ListParagraph"/>
        <w:numPr>
          <w:ilvl w:val="0"/>
          <w:numId w:val="7"/>
        </w:numPr>
      </w:pPr>
      <w:r>
        <w:t xml:space="preserve">The Risk Register is attached as Appendix </w:t>
      </w:r>
      <w:r w:rsidR="00832049">
        <w:t>E</w:t>
      </w:r>
      <w:r w:rsidRPr="001356F1">
        <w:t>.</w:t>
      </w:r>
    </w:p>
    <w:p w14:paraId="1E85EF85" w14:textId="77777777" w:rsidR="00F3062B" w:rsidRPr="001356F1" w:rsidRDefault="00F3062B" w:rsidP="00F3062B">
      <w:pPr>
        <w:pStyle w:val="Heading1"/>
        <w:numPr>
          <w:ilvl w:val="0"/>
          <w:numId w:val="0"/>
        </w:numPr>
        <w:ind w:left="432" w:hanging="432"/>
      </w:pPr>
      <w:r w:rsidRPr="001356F1">
        <w:t xml:space="preserve">Equalities impact </w:t>
      </w:r>
    </w:p>
    <w:p w14:paraId="13428368" w14:textId="77777777" w:rsidR="00F3062B" w:rsidRPr="001356F1" w:rsidRDefault="00F3062B" w:rsidP="00B93809">
      <w:pPr>
        <w:pStyle w:val="ListParagraph"/>
        <w:numPr>
          <w:ilvl w:val="0"/>
          <w:numId w:val="7"/>
        </w:numPr>
      </w:pPr>
      <w:r>
        <w:t>All services in receipt of funding are subject to monitoring which includes</w:t>
      </w:r>
      <w:r w:rsidRPr="00183D3A">
        <w:t xml:space="preserve"> equality and diversity</w:t>
      </w:r>
      <w:r w:rsidRPr="001356F1">
        <w:t>.</w:t>
      </w:r>
    </w:p>
    <w:p w14:paraId="79B7E832" w14:textId="77777777" w:rsidR="00F3062B" w:rsidRPr="001356F1" w:rsidRDefault="00F3062B" w:rsidP="00F3062B">
      <w:pPr>
        <w:pStyle w:val="Heading1"/>
        <w:numPr>
          <w:ilvl w:val="0"/>
          <w:numId w:val="0"/>
        </w:numPr>
        <w:ind w:left="432" w:hanging="432"/>
      </w:pPr>
      <w:r w:rsidRPr="001356F1">
        <w:t>Conclusion</w:t>
      </w:r>
    </w:p>
    <w:p w14:paraId="1F53C7F1" w14:textId="77777777" w:rsidR="00A1143D" w:rsidRDefault="00F3062B" w:rsidP="00B93809">
      <w:pPr>
        <w:pStyle w:val="ListParagraph"/>
        <w:numPr>
          <w:ilvl w:val="0"/>
          <w:numId w:val="7"/>
        </w:numPr>
      </w:pPr>
      <w:r>
        <w:t>The prop</w:t>
      </w:r>
      <w:r w:rsidR="00477FAA">
        <w:t>osed funding allocation for 2020</w:t>
      </w:r>
      <w:r w:rsidR="00BF0497">
        <w:t>/21</w:t>
      </w:r>
      <w:r>
        <w:t xml:space="preserve"> will ensure that the Council continues to provide </w:t>
      </w:r>
      <w:r w:rsidR="007D37B5">
        <w:t>a</w:t>
      </w:r>
      <w:r w:rsidR="00BF0497">
        <w:t xml:space="preserve"> </w:t>
      </w:r>
      <w:r w:rsidR="007D37B5">
        <w:t>broad range of</w:t>
      </w:r>
      <w:r>
        <w:t xml:space="preserve"> services </w:t>
      </w:r>
      <w:r w:rsidR="00BF0497">
        <w:t xml:space="preserve">to prevent and relieve rough sleeping and to support </w:t>
      </w:r>
      <w:r w:rsidR="007D37B5">
        <w:t xml:space="preserve">rough sleepers and </w:t>
      </w:r>
      <w:r>
        <w:t>single homeless people</w:t>
      </w:r>
      <w:r w:rsidR="00BF0497">
        <w:t xml:space="preserve"> to achieve and susta</w:t>
      </w:r>
      <w:r>
        <w:t>in independent lives.</w:t>
      </w:r>
      <w:r w:rsidR="005A2925">
        <w:t xml:space="preserve"> </w:t>
      </w:r>
    </w:p>
    <w:p w14:paraId="6C2A331A" w14:textId="77777777" w:rsidR="00F3062B" w:rsidRDefault="005A2925" w:rsidP="00B93809">
      <w:pPr>
        <w:pStyle w:val="ListParagraph"/>
        <w:numPr>
          <w:ilvl w:val="0"/>
          <w:numId w:val="7"/>
        </w:numPr>
      </w:pPr>
      <w:r>
        <w:t xml:space="preserve">Some changes to the proposed allocations set out at Appendix D maybe needed during the year to better reflect commissioning priorities in the context of available funding. Any proposed changes will be discussed and agreed with the Portfolio Holder. </w:t>
      </w:r>
    </w:p>
    <w:p w14:paraId="29F76262" w14:textId="77777777" w:rsidR="00B763E0" w:rsidRDefault="00B763E0" w:rsidP="00C56478">
      <w:pPr>
        <w:rPr>
          <w:b/>
        </w:rPr>
      </w:pP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14:paraId="626BF2D8" w14:textId="77777777"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14:paraId="12861FD9" w14:textId="77777777" w:rsidR="00E87F7A" w:rsidRPr="001356F1" w:rsidRDefault="00E87F7A" w:rsidP="00A46E98">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14:paraId="3E807DEE" w14:textId="77777777" w:rsidR="00E87F7A" w:rsidRPr="001356F1" w:rsidRDefault="00FA12CE" w:rsidP="00A46E98">
            <w:r>
              <w:t>Rachel Lawrence</w:t>
            </w:r>
          </w:p>
        </w:tc>
      </w:tr>
      <w:tr w:rsidR="00DF093E" w:rsidRPr="001356F1" w14:paraId="3A33351C" w14:textId="77777777" w:rsidTr="00A46E98">
        <w:trPr>
          <w:cantSplit/>
          <w:trHeight w:val="396"/>
        </w:trPr>
        <w:tc>
          <w:tcPr>
            <w:tcW w:w="3969" w:type="dxa"/>
            <w:tcBorders>
              <w:top w:val="single" w:sz="8" w:space="0" w:color="000000"/>
              <w:left w:val="single" w:sz="8" w:space="0" w:color="000000"/>
              <w:bottom w:val="nil"/>
              <w:right w:val="nil"/>
            </w:tcBorders>
            <w:shd w:val="clear" w:color="auto" w:fill="auto"/>
          </w:tcPr>
          <w:p w14:paraId="62502B13" w14:textId="77777777"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14:paraId="3891533E" w14:textId="77777777" w:rsidR="00E87F7A" w:rsidRPr="001356F1" w:rsidRDefault="007E570B" w:rsidP="00A46E98">
            <w:r>
              <w:t>Rough Sleeping &amp; Single Homelessness Manager</w:t>
            </w:r>
          </w:p>
        </w:tc>
      </w:tr>
      <w:tr w:rsidR="00DF093E" w:rsidRPr="001356F1" w14:paraId="322C5032" w14:textId="77777777" w:rsidTr="00A46E98">
        <w:trPr>
          <w:cantSplit/>
          <w:trHeight w:val="396"/>
        </w:trPr>
        <w:tc>
          <w:tcPr>
            <w:tcW w:w="3969" w:type="dxa"/>
            <w:tcBorders>
              <w:top w:val="nil"/>
              <w:left w:val="single" w:sz="8" w:space="0" w:color="000000"/>
              <w:bottom w:val="nil"/>
              <w:right w:val="nil"/>
            </w:tcBorders>
            <w:shd w:val="clear" w:color="auto" w:fill="auto"/>
          </w:tcPr>
          <w:p w14:paraId="598946DE" w14:textId="77777777"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14:paraId="0270885F" w14:textId="77777777" w:rsidR="00E87F7A" w:rsidRPr="001356F1" w:rsidRDefault="007E570B" w:rsidP="003257B8">
            <w:r>
              <w:t>Housing Ser</w:t>
            </w:r>
            <w:r w:rsidR="0023768F">
              <w:t>vices</w:t>
            </w:r>
          </w:p>
        </w:tc>
      </w:tr>
      <w:tr w:rsidR="00DF093E" w:rsidRPr="001356F1" w14:paraId="03C17EC1" w14:textId="77777777" w:rsidTr="00A46E98">
        <w:trPr>
          <w:cantSplit/>
          <w:trHeight w:val="396"/>
        </w:trPr>
        <w:tc>
          <w:tcPr>
            <w:tcW w:w="3969" w:type="dxa"/>
            <w:tcBorders>
              <w:top w:val="nil"/>
              <w:left w:val="single" w:sz="8" w:space="0" w:color="000000"/>
              <w:bottom w:val="nil"/>
              <w:right w:val="nil"/>
            </w:tcBorders>
            <w:shd w:val="clear" w:color="auto" w:fill="auto"/>
          </w:tcPr>
          <w:p w14:paraId="690D6408" w14:textId="77777777"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14:paraId="41C37DE5" w14:textId="77777777" w:rsidR="00E87F7A" w:rsidRPr="001356F1" w:rsidRDefault="00E87F7A" w:rsidP="007E570B">
            <w:r w:rsidRPr="001356F1">
              <w:t xml:space="preserve">01865 </w:t>
            </w:r>
            <w:r w:rsidR="009E631A">
              <w:rPr>
                <w:rFonts w:eastAsiaTheme="minorEastAsia"/>
                <w:noProof/>
              </w:rPr>
              <w:t>529 117</w:t>
            </w:r>
          </w:p>
        </w:tc>
      </w:tr>
      <w:tr w:rsidR="005570B5" w:rsidRPr="001356F1" w14:paraId="5E8A662B" w14:textId="77777777" w:rsidTr="00A46E98">
        <w:trPr>
          <w:cantSplit/>
          <w:trHeight w:val="396"/>
        </w:trPr>
        <w:tc>
          <w:tcPr>
            <w:tcW w:w="3969" w:type="dxa"/>
            <w:tcBorders>
              <w:top w:val="nil"/>
              <w:left w:val="single" w:sz="8" w:space="0" w:color="000000"/>
              <w:bottom w:val="single" w:sz="8" w:space="0" w:color="000000"/>
              <w:right w:val="nil"/>
            </w:tcBorders>
            <w:shd w:val="clear" w:color="auto" w:fill="auto"/>
          </w:tcPr>
          <w:p w14:paraId="31286D4F" w14:textId="77777777"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14:paraId="76F63634" w14:textId="77777777" w:rsidR="00E87F7A" w:rsidRPr="001356F1" w:rsidRDefault="009E631A" w:rsidP="009E631A">
            <w:pPr>
              <w:rPr>
                <w:rStyle w:val="Hyperlink"/>
                <w:color w:val="000000"/>
              </w:rPr>
            </w:pPr>
            <w:r>
              <w:rPr>
                <w:rStyle w:val="Hyperlink"/>
                <w:color w:val="000000"/>
              </w:rPr>
              <w:t>rlawrence</w:t>
            </w:r>
            <w:r w:rsidR="007E570B">
              <w:rPr>
                <w:rStyle w:val="Hyperlink"/>
                <w:color w:val="000000"/>
              </w:rPr>
              <w:t>@oxford.gov.uk</w:t>
            </w:r>
          </w:p>
        </w:tc>
      </w:tr>
    </w:tbl>
    <w:p w14:paraId="7E7E746E" w14:textId="77777777" w:rsidR="00433B96" w:rsidRPr="001356F1" w:rsidRDefault="00433B96"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364"/>
      </w:tblGrid>
      <w:tr w:rsidR="00DF093E" w:rsidRPr="001356F1" w14:paraId="0F23D150" w14:textId="77777777" w:rsidTr="009B326E">
        <w:tc>
          <w:tcPr>
            <w:tcW w:w="8931" w:type="dxa"/>
            <w:gridSpan w:val="2"/>
            <w:tcBorders>
              <w:top w:val="single" w:sz="4" w:space="0" w:color="auto"/>
              <w:left w:val="single" w:sz="4" w:space="0" w:color="auto"/>
              <w:bottom w:val="single" w:sz="8" w:space="0" w:color="000000"/>
              <w:right w:val="single" w:sz="4" w:space="0" w:color="auto"/>
            </w:tcBorders>
            <w:shd w:val="clear" w:color="auto" w:fill="auto"/>
          </w:tcPr>
          <w:p w14:paraId="5445A6FB" w14:textId="77777777" w:rsidR="0093067A" w:rsidRPr="001356F1" w:rsidRDefault="00182B81" w:rsidP="00F41AC1">
            <w:r w:rsidRPr="001356F1">
              <w:rPr>
                <w:rStyle w:val="Firstpagetablebold"/>
              </w:rPr>
              <w:t>Background Papers:</w:t>
            </w:r>
          </w:p>
        </w:tc>
      </w:tr>
      <w:tr w:rsidR="00DF093E" w:rsidRPr="001356F1" w14:paraId="5CA2260B" w14:textId="77777777" w:rsidTr="009B326E">
        <w:tc>
          <w:tcPr>
            <w:tcW w:w="567" w:type="dxa"/>
            <w:tcBorders>
              <w:top w:val="single" w:sz="8" w:space="0" w:color="000000"/>
              <w:left w:val="single" w:sz="8" w:space="0" w:color="000000"/>
              <w:bottom w:val="single" w:sz="8" w:space="0" w:color="000000"/>
              <w:right w:val="nil"/>
            </w:tcBorders>
            <w:shd w:val="clear" w:color="auto" w:fill="auto"/>
          </w:tcPr>
          <w:p w14:paraId="6C21B3A4" w14:textId="77777777" w:rsidR="0093067A" w:rsidRPr="001356F1" w:rsidRDefault="00182B81" w:rsidP="00F41AC1">
            <w:r w:rsidRPr="001356F1">
              <w:t>1</w:t>
            </w:r>
          </w:p>
        </w:tc>
        <w:tc>
          <w:tcPr>
            <w:tcW w:w="8364" w:type="dxa"/>
            <w:tcBorders>
              <w:top w:val="single" w:sz="8" w:space="0" w:color="000000"/>
              <w:left w:val="nil"/>
              <w:bottom w:val="single" w:sz="8" w:space="0" w:color="000000"/>
              <w:right w:val="single" w:sz="8" w:space="0" w:color="000000"/>
            </w:tcBorders>
          </w:tcPr>
          <w:p w14:paraId="63F582A7" w14:textId="77777777" w:rsidR="0093067A" w:rsidRPr="001356F1" w:rsidRDefault="008D26B5" w:rsidP="005D0621">
            <w:r>
              <w:t>None</w:t>
            </w:r>
          </w:p>
        </w:tc>
      </w:tr>
    </w:tbl>
    <w:p w14:paraId="539A6AFB" w14:textId="77777777" w:rsidR="004456DD" w:rsidRDefault="004456DD" w:rsidP="007106A6">
      <w:pPr>
        <w:keepNext/>
        <w:keepLines/>
      </w:pPr>
    </w:p>
    <w:sectPr w:rsidR="004456DD" w:rsidSect="005D6ECD">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98429B" w14:textId="77777777" w:rsidR="002B79A2" w:rsidRDefault="002B79A2" w:rsidP="004A6D2F">
      <w:r>
        <w:separator/>
      </w:r>
    </w:p>
  </w:endnote>
  <w:endnote w:type="continuationSeparator" w:id="0">
    <w:p w14:paraId="0AB03F5B" w14:textId="77777777" w:rsidR="002B79A2" w:rsidRDefault="002B79A2"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047B4D" w14:textId="77777777" w:rsidR="002B79A2" w:rsidRDefault="002B79A2" w:rsidP="004A6D2F">
    <w:pPr>
      <w:pStyle w:val="Footer"/>
    </w:pPr>
    <w:r>
      <w:t>Do not use a footer or page numbers.</w:t>
    </w:r>
  </w:p>
  <w:p w14:paraId="60FB1642" w14:textId="77777777" w:rsidR="002B79A2" w:rsidRDefault="002B79A2" w:rsidP="004A6D2F">
    <w:pPr>
      <w:pStyle w:val="Footer"/>
    </w:pPr>
  </w:p>
  <w:p w14:paraId="1B91C14A" w14:textId="77777777" w:rsidR="002B79A2" w:rsidRDefault="002B79A2"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5D2544" w14:textId="77777777" w:rsidR="002B79A2" w:rsidRDefault="002B79A2"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2A1947" w14:textId="77777777" w:rsidR="002B79A2" w:rsidRDefault="002B79A2" w:rsidP="004A6D2F">
      <w:r>
        <w:separator/>
      </w:r>
    </w:p>
  </w:footnote>
  <w:footnote w:type="continuationSeparator" w:id="0">
    <w:p w14:paraId="0EDB8F46" w14:textId="77777777" w:rsidR="002B79A2" w:rsidRDefault="002B79A2" w:rsidP="004A6D2F">
      <w:r>
        <w:continuationSeparator/>
      </w:r>
    </w:p>
  </w:footnote>
  <w:footnote w:id="1">
    <w:p w14:paraId="6E506876" w14:textId="77777777" w:rsidR="00303851" w:rsidRDefault="00303851" w:rsidP="00303851">
      <w:pPr>
        <w:pStyle w:val="FootnoteText"/>
        <w:rPr>
          <w:rFonts w:cs="Arial"/>
        </w:rPr>
      </w:pPr>
      <w:r>
        <w:rPr>
          <w:rStyle w:val="FootnoteReference"/>
        </w:rPr>
        <w:t>[1]</w:t>
      </w:r>
      <w:r>
        <w:t xml:space="preserve"> </w:t>
      </w:r>
      <w:proofErr w:type="gramStart"/>
      <w:r>
        <w:t>Where a person is exempted from the normal rules for accessing the Adult Homeless Pathway, typically because they have no connection to any particular location or due to unique circumstances.</w:t>
      </w:r>
      <w:proofErr w:type="gramEnd"/>
    </w:p>
  </w:footnote>
  <w:footnote w:id="2">
    <w:p w14:paraId="1DC46623" w14:textId="77777777" w:rsidR="00303851" w:rsidRDefault="00303851" w:rsidP="00303851">
      <w:pPr>
        <w:pStyle w:val="FootnoteText"/>
      </w:pPr>
      <w:r>
        <w:rPr>
          <w:rStyle w:val="FootnoteReference"/>
        </w:rPr>
        <w:t>[2]</w:t>
      </w:r>
      <w:r>
        <w:t xml:space="preserve"> Based on the November 2016 estimate figures of 17 (CDC), 47 (Oxford City), 7 (SODC), 8 (VOWH) and 0 (WODC. </w:t>
      </w:r>
      <w:proofErr w:type="gramStart"/>
      <w:r>
        <w:t>Total 79.</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ED82FE" w14:textId="77777777" w:rsidR="002B79A2" w:rsidRDefault="002B79A2" w:rsidP="00D5547E">
    <w:pPr>
      <w:pStyle w:val="Header"/>
      <w:jc w:val="right"/>
    </w:pPr>
    <w:r>
      <w:rPr>
        <w:noProof/>
      </w:rPr>
      <w:drawing>
        <wp:inline distT="0" distB="0" distL="0" distR="0" wp14:anchorId="5ED263EF" wp14:editId="4850C22F">
          <wp:extent cx="843280" cy="1117600"/>
          <wp:effectExtent l="0" t="0" r="0" b="635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53A22C2"/>
    <w:multiLevelType w:val="hybridMultilevel"/>
    <w:tmpl w:val="499084BA"/>
    <w:lvl w:ilvl="0" w:tplc="0809000F">
      <w:start w:val="1"/>
      <w:numFmt w:val="decimal"/>
      <w:lvlText w:val="%1."/>
      <w:lvlJc w:val="left"/>
      <w:pPr>
        <w:ind w:left="360" w:hanging="360"/>
      </w:p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3">
    <w:nsid w:val="10BB1691"/>
    <w:multiLevelType w:val="hybridMultilevel"/>
    <w:tmpl w:val="C3540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0CF758F"/>
    <w:multiLevelType w:val="hybridMultilevel"/>
    <w:tmpl w:val="7608B2C8"/>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54C0128B"/>
    <w:multiLevelType w:val="hybridMultilevel"/>
    <w:tmpl w:val="12E683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574703FB"/>
    <w:multiLevelType w:val="multilevel"/>
    <w:tmpl w:val="DFE4D38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63B30DF5"/>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nsid w:val="65610C1F"/>
    <w:multiLevelType w:val="hybridMultilevel"/>
    <w:tmpl w:val="491E6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774869CE"/>
    <w:multiLevelType w:val="hybridMultilevel"/>
    <w:tmpl w:val="A89AC3C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98365C6"/>
    <w:multiLevelType w:val="multilevel"/>
    <w:tmpl w:val="E67CE66C"/>
    <w:numStyleLink w:val="StyleNumberedLeft0cmHanging075cm"/>
  </w:abstractNum>
  <w:num w:numId="1">
    <w:abstractNumId w:val="0"/>
  </w:num>
  <w:num w:numId="2">
    <w:abstractNumId w:val="12"/>
    <w:lvlOverride w:ilvl="0">
      <w:lvl w:ilvl="0">
        <w:start w:val="1"/>
        <w:numFmt w:val="decimal"/>
        <w:pStyle w:val="ListParagraph"/>
        <w:lvlText w:val="%1."/>
        <w:lvlJc w:val="left"/>
        <w:pPr>
          <w:ind w:left="807" w:hanging="360"/>
        </w:pPr>
        <w:rPr>
          <w:rFonts w:ascii="Arial" w:hAnsi="Arial"/>
          <w:color w:val="000000"/>
          <w:sz w:val="24"/>
        </w:rPr>
      </w:lvl>
    </w:lvlOverride>
    <w:lvlOverride w:ilvl="1">
      <w:lvl w:ilvl="1">
        <w:start w:val="1"/>
        <w:numFmt w:val="lowerLetter"/>
        <w:lvlText w:val="%2."/>
        <w:lvlJc w:val="left"/>
        <w:pPr>
          <w:ind w:left="534" w:hanging="360"/>
        </w:pPr>
      </w:lvl>
    </w:lvlOverride>
    <w:lvlOverride w:ilvl="2">
      <w:lvl w:ilvl="2">
        <w:start w:val="1"/>
        <w:numFmt w:val="lowerRoman"/>
        <w:lvlText w:val="%3."/>
        <w:lvlJc w:val="right"/>
        <w:pPr>
          <w:ind w:left="1254" w:hanging="180"/>
        </w:pPr>
      </w:lvl>
    </w:lvlOverride>
    <w:lvlOverride w:ilvl="3">
      <w:lvl w:ilvl="3">
        <w:start w:val="1"/>
        <w:numFmt w:val="decimal"/>
        <w:lvlText w:val="%4."/>
        <w:lvlJc w:val="left"/>
        <w:pPr>
          <w:ind w:left="1974" w:hanging="360"/>
        </w:pPr>
      </w:lvl>
    </w:lvlOverride>
    <w:lvlOverride w:ilvl="4">
      <w:lvl w:ilvl="4">
        <w:start w:val="1"/>
        <w:numFmt w:val="lowerLetter"/>
        <w:lvlText w:val="%5."/>
        <w:lvlJc w:val="left"/>
        <w:pPr>
          <w:ind w:left="2694" w:hanging="360"/>
        </w:pPr>
      </w:lvl>
    </w:lvlOverride>
    <w:lvlOverride w:ilvl="5">
      <w:lvl w:ilvl="5">
        <w:start w:val="1"/>
        <w:numFmt w:val="lowerRoman"/>
        <w:lvlText w:val="%6."/>
        <w:lvlJc w:val="right"/>
        <w:pPr>
          <w:ind w:left="3414" w:hanging="180"/>
        </w:pPr>
      </w:lvl>
    </w:lvlOverride>
    <w:lvlOverride w:ilvl="6">
      <w:lvl w:ilvl="6">
        <w:start w:val="1"/>
        <w:numFmt w:val="decimal"/>
        <w:lvlText w:val="%7."/>
        <w:lvlJc w:val="left"/>
        <w:pPr>
          <w:ind w:left="4134" w:hanging="360"/>
        </w:pPr>
      </w:lvl>
    </w:lvlOverride>
    <w:lvlOverride w:ilvl="7">
      <w:lvl w:ilvl="7">
        <w:start w:val="1"/>
        <w:numFmt w:val="lowerLetter"/>
        <w:lvlText w:val="%8."/>
        <w:lvlJc w:val="left"/>
        <w:pPr>
          <w:ind w:left="4854" w:hanging="360"/>
        </w:pPr>
      </w:lvl>
    </w:lvlOverride>
    <w:lvlOverride w:ilvl="8">
      <w:lvl w:ilvl="8">
        <w:start w:val="1"/>
        <w:numFmt w:val="lowerRoman"/>
        <w:lvlText w:val="%9."/>
        <w:lvlJc w:val="right"/>
        <w:pPr>
          <w:ind w:left="5574" w:hanging="180"/>
        </w:pPr>
      </w:lvl>
    </w:lvlOverride>
  </w:num>
  <w:num w:numId="3">
    <w:abstractNumId w:val="5"/>
  </w:num>
  <w:num w:numId="4">
    <w:abstractNumId w:val="1"/>
  </w:num>
  <w:num w:numId="5">
    <w:abstractNumId w:val="10"/>
  </w:num>
  <w:num w:numId="6">
    <w:abstractNumId w:val="8"/>
  </w:num>
  <w:num w:numId="7">
    <w:abstractNumId w:val="2"/>
  </w:num>
  <w:num w:numId="8">
    <w:abstractNumId w:val="9"/>
  </w:num>
  <w:num w:numId="9">
    <w:abstractNumId w:val="4"/>
  </w:num>
  <w:num w:numId="10">
    <w:abstractNumId w:val="11"/>
  </w:num>
  <w:num w:numId="11">
    <w:abstractNumId w:val="6"/>
  </w:num>
  <w:num w:numId="12">
    <w:abstractNumId w:val="3"/>
  </w:num>
  <w:num w:numId="13">
    <w:abstractNumId w:val="7"/>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AWRENCE Rachel">
    <w15:presenceInfo w15:providerId="AD" w15:userId="S-1-5-21-38480843-1272404328-111032338-318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BF2"/>
    <w:rsid w:val="00003329"/>
    <w:rsid w:val="000117D4"/>
    <w:rsid w:val="00011A0B"/>
    <w:rsid w:val="00013169"/>
    <w:rsid w:val="00023DEF"/>
    <w:rsid w:val="000314D7"/>
    <w:rsid w:val="00045F8B"/>
    <w:rsid w:val="0004600D"/>
    <w:rsid w:val="00046D2B"/>
    <w:rsid w:val="000507FF"/>
    <w:rsid w:val="0005286F"/>
    <w:rsid w:val="00056263"/>
    <w:rsid w:val="00060842"/>
    <w:rsid w:val="00064D8A"/>
    <w:rsid w:val="00064F82"/>
    <w:rsid w:val="00066510"/>
    <w:rsid w:val="00066AC1"/>
    <w:rsid w:val="00071D8C"/>
    <w:rsid w:val="00072F75"/>
    <w:rsid w:val="00073EF9"/>
    <w:rsid w:val="00077523"/>
    <w:rsid w:val="0008174E"/>
    <w:rsid w:val="000831E1"/>
    <w:rsid w:val="000842BA"/>
    <w:rsid w:val="00084CE5"/>
    <w:rsid w:val="00093509"/>
    <w:rsid w:val="00093E07"/>
    <w:rsid w:val="00096060"/>
    <w:rsid w:val="000970B5"/>
    <w:rsid w:val="000A79F2"/>
    <w:rsid w:val="000B3E83"/>
    <w:rsid w:val="000C089F"/>
    <w:rsid w:val="000C3928"/>
    <w:rsid w:val="000C5E8E"/>
    <w:rsid w:val="000D0077"/>
    <w:rsid w:val="000E37BE"/>
    <w:rsid w:val="000E44C5"/>
    <w:rsid w:val="000F028E"/>
    <w:rsid w:val="000F4751"/>
    <w:rsid w:val="0010524C"/>
    <w:rsid w:val="00111FB1"/>
    <w:rsid w:val="0011303C"/>
    <w:rsid w:val="00113418"/>
    <w:rsid w:val="00113C86"/>
    <w:rsid w:val="00122B38"/>
    <w:rsid w:val="00125CF8"/>
    <w:rsid w:val="00130331"/>
    <w:rsid w:val="00131037"/>
    <w:rsid w:val="0013192F"/>
    <w:rsid w:val="0013346C"/>
    <w:rsid w:val="001356F1"/>
    <w:rsid w:val="00135DB0"/>
    <w:rsid w:val="00136994"/>
    <w:rsid w:val="0014128E"/>
    <w:rsid w:val="00143C12"/>
    <w:rsid w:val="00146F09"/>
    <w:rsid w:val="0015167E"/>
    <w:rsid w:val="00151888"/>
    <w:rsid w:val="001532B8"/>
    <w:rsid w:val="0015533C"/>
    <w:rsid w:val="001557DE"/>
    <w:rsid w:val="00161C14"/>
    <w:rsid w:val="00164509"/>
    <w:rsid w:val="00170A2D"/>
    <w:rsid w:val="001764C7"/>
    <w:rsid w:val="001808BC"/>
    <w:rsid w:val="00182B81"/>
    <w:rsid w:val="00183D3A"/>
    <w:rsid w:val="0018619D"/>
    <w:rsid w:val="00186C83"/>
    <w:rsid w:val="001941EC"/>
    <w:rsid w:val="001A011E"/>
    <w:rsid w:val="001A066A"/>
    <w:rsid w:val="001A13E6"/>
    <w:rsid w:val="001A3FE1"/>
    <w:rsid w:val="001A5731"/>
    <w:rsid w:val="001A7D34"/>
    <w:rsid w:val="001B42C3"/>
    <w:rsid w:val="001B4BF2"/>
    <w:rsid w:val="001C5307"/>
    <w:rsid w:val="001C5D5E"/>
    <w:rsid w:val="001D42C1"/>
    <w:rsid w:val="001D6344"/>
    <w:rsid w:val="001D678D"/>
    <w:rsid w:val="001D734B"/>
    <w:rsid w:val="001E03F8"/>
    <w:rsid w:val="001E11DA"/>
    <w:rsid w:val="001E1678"/>
    <w:rsid w:val="001E3376"/>
    <w:rsid w:val="001F496D"/>
    <w:rsid w:val="001F5E38"/>
    <w:rsid w:val="00202570"/>
    <w:rsid w:val="002069B3"/>
    <w:rsid w:val="00216218"/>
    <w:rsid w:val="002167EE"/>
    <w:rsid w:val="002234BF"/>
    <w:rsid w:val="002240EF"/>
    <w:rsid w:val="00226587"/>
    <w:rsid w:val="00230449"/>
    <w:rsid w:val="00231570"/>
    <w:rsid w:val="002329CF"/>
    <w:rsid w:val="00232F5B"/>
    <w:rsid w:val="002363C5"/>
    <w:rsid w:val="00236854"/>
    <w:rsid w:val="0023768F"/>
    <w:rsid w:val="002451EB"/>
    <w:rsid w:val="002465F8"/>
    <w:rsid w:val="00247C29"/>
    <w:rsid w:val="00260467"/>
    <w:rsid w:val="00262DE4"/>
    <w:rsid w:val="00263EA3"/>
    <w:rsid w:val="002660AD"/>
    <w:rsid w:val="002678A4"/>
    <w:rsid w:val="00272098"/>
    <w:rsid w:val="00277D18"/>
    <w:rsid w:val="002803FA"/>
    <w:rsid w:val="002828EA"/>
    <w:rsid w:val="0028408C"/>
    <w:rsid w:val="00284F85"/>
    <w:rsid w:val="00286A7D"/>
    <w:rsid w:val="00290915"/>
    <w:rsid w:val="002937B0"/>
    <w:rsid w:val="002940F4"/>
    <w:rsid w:val="00295CCF"/>
    <w:rsid w:val="00295CD3"/>
    <w:rsid w:val="00296C13"/>
    <w:rsid w:val="0029715B"/>
    <w:rsid w:val="002A22E2"/>
    <w:rsid w:val="002B7981"/>
    <w:rsid w:val="002B79A2"/>
    <w:rsid w:val="002C52DF"/>
    <w:rsid w:val="002C64F7"/>
    <w:rsid w:val="002D3818"/>
    <w:rsid w:val="002D43D6"/>
    <w:rsid w:val="002E12C1"/>
    <w:rsid w:val="002E19BC"/>
    <w:rsid w:val="002E4F88"/>
    <w:rsid w:val="002E6B66"/>
    <w:rsid w:val="002F077B"/>
    <w:rsid w:val="002F41F2"/>
    <w:rsid w:val="002F4FD0"/>
    <w:rsid w:val="00301BF3"/>
    <w:rsid w:val="0030208D"/>
    <w:rsid w:val="00303851"/>
    <w:rsid w:val="00304073"/>
    <w:rsid w:val="00305CDC"/>
    <w:rsid w:val="00306FB6"/>
    <w:rsid w:val="003079C1"/>
    <w:rsid w:val="00310ED5"/>
    <w:rsid w:val="00312113"/>
    <w:rsid w:val="00320B75"/>
    <w:rsid w:val="00322FDF"/>
    <w:rsid w:val="00323418"/>
    <w:rsid w:val="00323516"/>
    <w:rsid w:val="003257B8"/>
    <w:rsid w:val="0033560F"/>
    <w:rsid w:val="003357BF"/>
    <w:rsid w:val="00335CB6"/>
    <w:rsid w:val="00335E17"/>
    <w:rsid w:val="003372C5"/>
    <w:rsid w:val="00350F30"/>
    <w:rsid w:val="00351FC6"/>
    <w:rsid w:val="00353478"/>
    <w:rsid w:val="0035408D"/>
    <w:rsid w:val="0035492E"/>
    <w:rsid w:val="00357CCF"/>
    <w:rsid w:val="003606A6"/>
    <w:rsid w:val="00360C5D"/>
    <w:rsid w:val="00361AD8"/>
    <w:rsid w:val="00364FAD"/>
    <w:rsid w:val="003660B7"/>
    <w:rsid w:val="0036738F"/>
    <w:rsid w:val="0036759C"/>
    <w:rsid w:val="00367AE5"/>
    <w:rsid w:val="00367D71"/>
    <w:rsid w:val="003779D5"/>
    <w:rsid w:val="003800BD"/>
    <w:rsid w:val="0038150A"/>
    <w:rsid w:val="00387AEE"/>
    <w:rsid w:val="00391937"/>
    <w:rsid w:val="00391B93"/>
    <w:rsid w:val="003921D7"/>
    <w:rsid w:val="003B1BFF"/>
    <w:rsid w:val="003B2062"/>
    <w:rsid w:val="003B21FF"/>
    <w:rsid w:val="003B6938"/>
    <w:rsid w:val="003B6B56"/>
    <w:rsid w:val="003B6E75"/>
    <w:rsid w:val="003B785C"/>
    <w:rsid w:val="003B7DA1"/>
    <w:rsid w:val="003D0379"/>
    <w:rsid w:val="003D0F62"/>
    <w:rsid w:val="003D1FD2"/>
    <w:rsid w:val="003D2118"/>
    <w:rsid w:val="003D2574"/>
    <w:rsid w:val="003D27E9"/>
    <w:rsid w:val="003D4C59"/>
    <w:rsid w:val="003D5F02"/>
    <w:rsid w:val="003D67E3"/>
    <w:rsid w:val="003D6C94"/>
    <w:rsid w:val="003F2431"/>
    <w:rsid w:val="003F4267"/>
    <w:rsid w:val="003F6664"/>
    <w:rsid w:val="00404032"/>
    <w:rsid w:val="0040736F"/>
    <w:rsid w:val="00412C1F"/>
    <w:rsid w:val="004167AA"/>
    <w:rsid w:val="00421CB2"/>
    <w:rsid w:val="00422B8E"/>
    <w:rsid w:val="00422BB1"/>
    <w:rsid w:val="00424AEF"/>
    <w:rsid w:val="004253F7"/>
    <w:rsid w:val="004268B9"/>
    <w:rsid w:val="00427F5A"/>
    <w:rsid w:val="00433B96"/>
    <w:rsid w:val="00433F58"/>
    <w:rsid w:val="00436196"/>
    <w:rsid w:val="00437D36"/>
    <w:rsid w:val="00437F75"/>
    <w:rsid w:val="00440122"/>
    <w:rsid w:val="00440A90"/>
    <w:rsid w:val="004440F1"/>
    <w:rsid w:val="004456DD"/>
    <w:rsid w:val="00446CDF"/>
    <w:rsid w:val="00450F8A"/>
    <w:rsid w:val="004521B7"/>
    <w:rsid w:val="00454DC6"/>
    <w:rsid w:val="00462AB5"/>
    <w:rsid w:val="004631A4"/>
    <w:rsid w:val="00465EAF"/>
    <w:rsid w:val="004738C5"/>
    <w:rsid w:val="00476C25"/>
    <w:rsid w:val="00477CF6"/>
    <w:rsid w:val="00477FAA"/>
    <w:rsid w:val="00487022"/>
    <w:rsid w:val="00491046"/>
    <w:rsid w:val="00497907"/>
    <w:rsid w:val="004A0023"/>
    <w:rsid w:val="004A1491"/>
    <w:rsid w:val="004A2AC7"/>
    <w:rsid w:val="004A5144"/>
    <w:rsid w:val="004A5DDE"/>
    <w:rsid w:val="004A6D2F"/>
    <w:rsid w:val="004B00A5"/>
    <w:rsid w:val="004B0F1C"/>
    <w:rsid w:val="004B1BBA"/>
    <w:rsid w:val="004B49FD"/>
    <w:rsid w:val="004B5F42"/>
    <w:rsid w:val="004C2887"/>
    <w:rsid w:val="004D2626"/>
    <w:rsid w:val="004D3815"/>
    <w:rsid w:val="004D6E26"/>
    <w:rsid w:val="004D719E"/>
    <w:rsid w:val="004D77D3"/>
    <w:rsid w:val="004E2959"/>
    <w:rsid w:val="004E61B7"/>
    <w:rsid w:val="004F19B7"/>
    <w:rsid w:val="004F20EF"/>
    <w:rsid w:val="004F69BB"/>
    <w:rsid w:val="00500C65"/>
    <w:rsid w:val="00502F92"/>
    <w:rsid w:val="0050321C"/>
    <w:rsid w:val="00510819"/>
    <w:rsid w:val="00514524"/>
    <w:rsid w:val="00514844"/>
    <w:rsid w:val="0052542F"/>
    <w:rsid w:val="00533699"/>
    <w:rsid w:val="005369DD"/>
    <w:rsid w:val="005412C2"/>
    <w:rsid w:val="0054670B"/>
    <w:rsid w:val="0054712D"/>
    <w:rsid w:val="00547EF6"/>
    <w:rsid w:val="0055246F"/>
    <w:rsid w:val="00554483"/>
    <w:rsid w:val="005570B5"/>
    <w:rsid w:val="0056049F"/>
    <w:rsid w:val="00563BE3"/>
    <w:rsid w:val="00563CE9"/>
    <w:rsid w:val="005660C1"/>
    <w:rsid w:val="00567E18"/>
    <w:rsid w:val="00572A0B"/>
    <w:rsid w:val="00575F5F"/>
    <w:rsid w:val="00581805"/>
    <w:rsid w:val="0058347C"/>
    <w:rsid w:val="00585F76"/>
    <w:rsid w:val="00593FFC"/>
    <w:rsid w:val="005969F3"/>
    <w:rsid w:val="005A2925"/>
    <w:rsid w:val="005A3427"/>
    <w:rsid w:val="005A34E4"/>
    <w:rsid w:val="005A7390"/>
    <w:rsid w:val="005B17F2"/>
    <w:rsid w:val="005B24B5"/>
    <w:rsid w:val="005B7FB0"/>
    <w:rsid w:val="005C35A5"/>
    <w:rsid w:val="005C5425"/>
    <w:rsid w:val="005C577C"/>
    <w:rsid w:val="005C6B5B"/>
    <w:rsid w:val="005D0621"/>
    <w:rsid w:val="005D1942"/>
    <w:rsid w:val="005D1E27"/>
    <w:rsid w:val="005D2A3E"/>
    <w:rsid w:val="005D6ECD"/>
    <w:rsid w:val="005E022E"/>
    <w:rsid w:val="005E31BE"/>
    <w:rsid w:val="005E3DBB"/>
    <w:rsid w:val="005E5215"/>
    <w:rsid w:val="005E72B2"/>
    <w:rsid w:val="005F5B4D"/>
    <w:rsid w:val="005F7F7E"/>
    <w:rsid w:val="0060004F"/>
    <w:rsid w:val="00602F89"/>
    <w:rsid w:val="00613585"/>
    <w:rsid w:val="00614693"/>
    <w:rsid w:val="00623C2F"/>
    <w:rsid w:val="006256A2"/>
    <w:rsid w:val="0062659C"/>
    <w:rsid w:val="00627AE7"/>
    <w:rsid w:val="00632045"/>
    <w:rsid w:val="00633578"/>
    <w:rsid w:val="00637068"/>
    <w:rsid w:val="00640013"/>
    <w:rsid w:val="006419EF"/>
    <w:rsid w:val="00641E81"/>
    <w:rsid w:val="00647581"/>
    <w:rsid w:val="00650811"/>
    <w:rsid w:val="00657892"/>
    <w:rsid w:val="00661D3E"/>
    <w:rsid w:val="00662E3C"/>
    <w:rsid w:val="00663F87"/>
    <w:rsid w:val="0066767A"/>
    <w:rsid w:val="00667A30"/>
    <w:rsid w:val="00671F38"/>
    <w:rsid w:val="00674506"/>
    <w:rsid w:val="00677B61"/>
    <w:rsid w:val="00680A10"/>
    <w:rsid w:val="00690E3D"/>
    <w:rsid w:val="006913E4"/>
    <w:rsid w:val="00692627"/>
    <w:rsid w:val="006969E7"/>
    <w:rsid w:val="006A3643"/>
    <w:rsid w:val="006A7258"/>
    <w:rsid w:val="006B1BCA"/>
    <w:rsid w:val="006B2377"/>
    <w:rsid w:val="006B3172"/>
    <w:rsid w:val="006B3C4F"/>
    <w:rsid w:val="006B5390"/>
    <w:rsid w:val="006C2A29"/>
    <w:rsid w:val="006C64CF"/>
    <w:rsid w:val="006C6540"/>
    <w:rsid w:val="006D05FC"/>
    <w:rsid w:val="006D17B1"/>
    <w:rsid w:val="006D4752"/>
    <w:rsid w:val="006D708A"/>
    <w:rsid w:val="006E14C1"/>
    <w:rsid w:val="006E1F19"/>
    <w:rsid w:val="006F0292"/>
    <w:rsid w:val="006F0C0F"/>
    <w:rsid w:val="006F273C"/>
    <w:rsid w:val="006F27FA"/>
    <w:rsid w:val="006F36F0"/>
    <w:rsid w:val="006F416B"/>
    <w:rsid w:val="006F4934"/>
    <w:rsid w:val="006F519B"/>
    <w:rsid w:val="007064B5"/>
    <w:rsid w:val="007106A6"/>
    <w:rsid w:val="00713675"/>
    <w:rsid w:val="00715423"/>
    <w:rsid w:val="00715823"/>
    <w:rsid w:val="00720EA0"/>
    <w:rsid w:val="00723E99"/>
    <w:rsid w:val="00724C53"/>
    <w:rsid w:val="00727424"/>
    <w:rsid w:val="00735BD7"/>
    <w:rsid w:val="00737B93"/>
    <w:rsid w:val="007409B3"/>
    <w:rsid w:val="00742D4A"/>
    <w:rsid w:val="00743B26"/>
    <w:rsid w:val="00745BF0"/>
    <w:rsid w:val="00747A9D"/>
    <w:rsid w:val="00750325"/>
    <w:rsid w:val="0075147C"/>
    <w:rsid w:val="007615FE"/>
    <w:rsid w:val="00764E2F"/>
    <w:rsid w:val="0076655C"/>
    <w:rsid w:val="007742DC"/>
    <w:rsid w:val="00782846"/>
    <w:rsid w:val="00782DD3"/>
    <w:rsid w:val="0078701C"/>
    <w:rsid w:val="00791437"/>
    <w:rsid w:val="007A1E1A"/>
    <w:rsid w:val="007A3BAB"/>
    <w:rsid w:val="007A6E39"/>
    <w:rsid w:val="007A75A7"/>
    <w:rsid w:val="007A7FF2"/>
    <w:rsid w:val="007B0C2C"/>
    <w:rsid w:val="007B278E"/>
    <w:rsid w:val="007B28F7"/>
    <w:rsid w:val="007B2DA1"/>
    <w:rsid w:val="007B30BA"/>
    <w:rsid w:val="007B5646"/>
    <w:rsid w:val="007C220F"/>
    <w:rsid w:val="007C5C23"/>
    <w:rsid w:val="007D37B5"/>
    <w:rsid w:val="007E1BD7"/>
    <w:rsid w:val="007E2A26"/>
    <w:rsid w:val="007E570B"/>
    <w:rsid w:val="007F2348"/>
    <w:rsid w:val="007F2D37"/>
    <w:rsid w:val="00803F07"/>
    <w:rsid w:val="0080749A"/>
    <w:rsid w:val="00813F7A"/>
    <w:rsid w:val="00816E0E"/>
    <w:rsid w:val="00821A15"/>
    <w:rsid w:val="00821F8F"/>
    <w:rsid w:val="00821FB8"/>
    <w:rsid w:val="00822ACD"/>
    <w:rsid w:val="00832049"/>
    <w:rsid w:val="00843A79"/>
    <w:rsid w:val="008521D7"/>
    <w:rsid w:val="00855C66"/>
    <w:rsid w:val="008624C6"/>
    <w:rsid w:val="008667C3"/>
    <w:rsid w:val="00871EE4"/>
    <w:rsid w:val="00893681"/>
    <w:rsid w:val="008A4474"/>
    <w:rsid w:val="008B293F"/>
    <w:rsid w:val="008B4C85"/>
    <w:rsid w:val="008B5C17"/>
    <w:rsid w:val="008B7371"/>
    <w:rsid w:val="008C1FBF"/>
    <w:rsid w:val="008C4B6C"/>
    <w:rsid w:val="008D26B5"/>
    <w:rsid w:val="008D3DDB"/>
    <w:rsid w:val="008F00D2"/>
    <w:rsid w:val="008F0C53"/>
    <w:rsid w:val="008F573F"/>
    <w:rsid w:val="008F75CC"/>
    <w:rsid w:val="009007E3"/>
    <w:rsid w:val="009034EC"/>
    <w:rsid w:val="00906F71"/>
    <w:rsid w:val="009128E0"/>
    <w:rsid w:val="00920CC3"/>
    <w:rsid w:val="00923C1B"/>
    <w:rsid w:val="0093067A"/>
    <w:rsid w:val="00931F99"/>
    <w:rsid w:val="00941C60"/>
    <w:rsid w:val="00941CD8"/>
    <w:rsid w:val="00952F68"/>
    <w:rsid w:val="00960ACB"/>
    <w:rsid w:val="00966D42"/>
    <w:rsid w:val="00967637"/>
    <w:rsid w:val="00971689"/>
    <w:rsid w:val="00973E90"/>
    <w:rsid w:val="00975B07"/>
    <w:rsid w:val="00980B4A"/>
    <w:rsid w:val="00981167"/>
    <w:rsid w:val="00990DF3"/>
    <w:rsid w:val="009A4280"/>
    <w:rsid w:val="009A5D1D"/>
    <w:rsid w:val="009B119E"/>
    <w:rsid w:val="009B168F"/>
    <w:rsid w:val="009B326E"/>
    <w:rsid w:val="009B3D2F"/>
    <w:rsid w:val="009B4537"/>
    <w:rsid w:val="009C34BB"/>
    <w:rsid w:val="009C5C86"/>
    <w:rsid w:val="009D2FDD"/>
    <w:rsid w:val="009E33A7"/>
    <w:rsid w:val="009E3D0A"/>
    <w:rsid w:val="009E51FC"/>
    <w:rsid w:val="009E5B6D"/>
    <w:rsid w:val="009E631A"/>
    <w:rsid w:val="009E6A2B"/>
    <w:rsid w:val="009F01C0"/>
    <w:rsid w:val="009F05E5"/>
    <w:rsid w:val="009F1B44"/>
    <w:rsid w:val="009F1D28"/>
    <w:rsid w:val="009F4839"/>
    <w:rsid w:val="009F7618"/>
    <w:rsid w:val="00A04D23"/>
    <w:rsid w:val="00A06766"/>
    <w:rsid w:val="00A10767"/>
    <w:rsid w:val="00A10813"/>
    <w:rsid w:val="00A1143D"/>
    <w:rsid w:val="00A11608"/>
    <w:rsid w:val="00A13765"/>
    <w:rsid w:val="00A13F75"/>
    <w:rsid w:val="00A21B12"/>
    <w:rsid w:val="00A22570"/>
    <w:rsid w:val="00A23F80"/>
    <w:rsid w:val="00A2487A"/>
    <w:rsid w:val="00A30645"/>
    <w:rsid w:val="00A34A5D"/>
    <w:rsid w:val="00A34E15"/>
    <w:rsid w:val="00A4146A"/>
    <w:rsid w:val="00A42609"/>
    <w:rsid w:val="00A46E98"/>
    <w:rsid w:val="00A51FD5"/>
    <w:rsid w:val="00A536AD"/>
    <w:rsid w:val="00A567CF"/>
    <w:rsid w:val="00A60224"/>
    <w:rsid w:val="00A6352B"/>
    <w:rsid w:val="00A701B5"/>
    <w:rsid w:val="00A714BB"/>
    <w:rsid w:val="00A74078"/>
    <w:rsid w:val="00A84311"/>
    <w:rsid w:val="00A92A18"/>
    <w:rsid w:val="00A92D8F"/>
    <w:rsid w:val="00A9491C"/>
    <w:rsid w:val="00AA517A"/>
    <w:rsid w:val="00AA666E"/>
    <w:rsid w:val="00AA6AEB"/>
    <w:rsid w:val="00AA75FD"/>
    <w:rsid w:val="00AB2561"/>
    <w:rsid w:val="00AB2988"/>
    <w:rsid w:val="00AB7999"/>
    <w:rsid w:val="00AD3292"/>
    <w:rsid w:val="00AE1DDE"/>
    <w:rsid w:val="00AE7AF0"/>
    <w:rsid w:val="00AF22C4"/>
    <w:rsid w:val="00AF45FA"/>
    <w:rsid w:val="00AF6ECC"/>
    <w:rsid w:val="00B1713B"/>
    <w:rsid w:val="00B214DB"/>
    <w:rsid w:val="00B228C5"/>
    <w:rsid w:val="00B2337B"/>
    <w:rsid w:val="00B30112"/>
    <w:rsid w:val="00B3017C"/>
    <w:rsid w:val="00B31297"/>
    <w:rsid w:val="00B33097"/>
    <w:rsid w:val="00B33922"/>
    <w:rsid w:val="00B4230A"/>
    <w:rsid w:val="00B431B7"/>
    <w:rsid w:val="00B437CF"/>
    <w:rsid w:val="00B4656D"/>
    <w:rsid w:val="00B500CA"/>
    <w:rsid w:val="00B561F9"/>
    <w:rsid w:val="00B56EAA"/>
    <w:rsid w:val="00B6345B"/>
    <w:rsid w:val="00B66CA3"/>
    <w:rsid w:val="00B720B6"/>
    <w:rsid w:val="00B72910"/>
    <w:rsid w:val="00B73B84"/>
    <w:rsid w:val="00B763E0"/>
    <w:rsid w:val="00B86314"/>
    <w:rsid w:val="00B91B3D"/>
    <w:rsid w:val="00B93809"/>
    <w:rsid w:val="00B94DD6"/>
    <w:rsid w:val="00BA0168"/>
    <w:rsid w:val="00BA0D31"/>
    <w:rsid w:val="00BA1129"/>
    <w:rsid w:val="00BA1C2E"/>
    <w:rsid w:val="00BA24B3"/>
    <w:rsid w:val="00BA33F3"/>
    <w:rsid w:val="00BA4073"/>
    <w:rsid w:val="00BC200B"/>
    <w:rsid w:val="00BC4756"/>
    <w:rsid w:val="00BC69A4"/>
    <w:rsid w:val="00BD35F3"/>
    <w:rsid w:val="00BD5AEC"/>
    <w:rsid w:val="00BD774B"/>
    <w:rsid w:val="00BE0680"/>
    <w:rsid w:val="00BE1FD7"/>
    <w:rsid w:val="00BE305F"/>
    <w:rsid w:val="00BE65A4"/>
    <w:rsid w:val="00BE7BA3"/>
    <w:rsid w:val="00BF0497"/>
    <w:rsid w:val="00BF5682"/>
    <w:rsid w:val="00BF7B09"/>
    <w:rsid w:val="00C00A2E"/>
    <w:rsid w:val="00C103B5"/>
    <w:rsid w:val="00C10C6D"/>
    <w:rsid w:val="00C11C17"/>
    <w:rsid w:val="00C161DA"/>
    <w:rsid w:val="00C20075"/>
    <w:rsid w:val="00C20A95"/>
    <w:rsid w:val="00C2692F"/>
    <w:rsid w:val="00C26BA8"/>
    <w:rsid w:val="00C3207C"/>
    <w:rsid w:val="00C400E1"/>
    <w:rsid w:val="00C41187"/>
    <w:rsid w:val="00C425DD"/>
    <w:rsid w:val="00C56478"/>
    <w:rsid w:val="00C63175"/>
    <w:rsid w:val="00C63C31"/>
    <w:rsid w:val="00C6539C"/>
    <w:rsid w:val="00C65780"/>
    <w:rsid w:val="00C6707D"/>
    <w:rsid w:val="00C710AB"/>
    <w:rsid w:val="00C757A0"/>
    <w:rsid w:val="00C760DE"/>
    <w:rsid w:val="00C81D76"/>
    <w:rsid w:val="00C82630"/>
    <w:rsid w:val="00C85B4E"/>
    <w:rsid w:val="00C907F7"/>
    <w:rsid w:val="00C90941"/>
    <w:rsid w:val="00C91ED4"/>
    <w:rsid w:val="00CA2103"/>
    <w:rsid w:val="00CA2BA8"/>
    <w:rsid w:val="00CA3E3C"/>
    <w:rsid w:val="00CA54F1"/>
    <w:rsid w:val="00CB0001"/>
    <w:rsid w:val="00CB0CA0"/>
    <w:rsid w:val="00CB27BC"/>
    <w:rsid w:val="00CB6B99"/>
    <w:rsid w:val="00CD717C"/>
    <w:rsid w:val="00CD71D5"/>
    <w:rsid w:val="00CE4C87"/>
    <w:rsid w:val="00CE544A"/>
    <w:rsid w:val="00CF26D2"/>
    <w:rsid w:val="00CF5C6E"/>
    <w:rsid w:val="00D11E1C"/>
    <w:rsid w:val="00D13375"/>
    <w:rsid w:val="00D154D5"/>
    <w:rsid w:val="00D160B0"/>
    <w:rsid w:val="00D17F94"/>
    <w:rsid w:val="00D2181A"/>
    <w:rsid w:val="00D223FC"/>
    <w:rsid w:val="00D23363"/>
    <w:rsid w:val="00D26D1E"/>
    <w:rsid w:val="00D32577"/>
    <w:rsid w:val="00D33A42"/>
    <w:rsid w:val="00D362C2"/>
    <w:rsid w:val="00D37028"/>
    <w:rsid w:val="00D40CA3"/>
    <w:rsid w:val="00D45244"/>
    <w:rsid w:val="00D474CF"/>
    <w:rsid w:val="00D47525"/>
    <w:rsid w:val="00D508B1"/>
    <w:rsid w:val="00D5547E"/>
    <w:rsid w:val="00D67D59"/>
    <w:rsid w:val="00D725E0"/>
    <w:rsid w:val="00D74937"/>
    <w:rsid w:val="00D75C97"/>
    <w:rsid w:val="00D77397"/>
    <w:rsid w:val="00D77B5F"/>
    <w:rsid w:val="00D868FF"/>
    <w:rsid w:val="00D869A1"/>
    <w:rsid w:val="00D94803"/>
    <w:rsid w:val="00DA3B1B"/>
    <w:rsid w:val="00DA3CFF"/>
    <w:rsid w:val="00DA413F"/>
    <w:rsid w:val="00DA4584"/>
    <w:rsid w:val="00DA614B"/>
    <w:rsid w:val="00DC278B"/>
    <w:rsid w:val="00DC3060"/>
    <w:rsid w:val="00DC7ABE"/>
    <w:rsid w:val="00DD457E"/>
    <w:rsid w:val="00DE0FB2"/>
    <w:rsid w:val="00DE5CE1"/>
    <w:rsid w:val="00DE7C1E"/>
    <w:rsid w:val="00DF093E"/>
    <w:rsid w:val="00DF150D"/>
    <w:rsid w:val="00E01F42"/>
    <w:rsid w:val="00E0320E"/>
    <w:rsid w:val="00E11B79"/>
    <w:rsid w:val="00E1225A"/>
    <w:rsid w:val="00E206D6"/>
    <w:rsid w:val="00E32DB8"/>
    <w:rsid w:val="00E3366E"/>
    <w:rsid w:val="00E4216B"/>
    <w:rsid w:val="00E473D8"/>
    <w:rsid w:val="00E52086"/>
    <w:rsid w:val="00E543A6"/>
    <w:rsid w:val="00E60479"/>
    <w:rsid w:val="00E61D73"/>
    <w:rsid w:val="00E73684"/>
    <w:rsid w:val="00E76ED0"/>
    <w:rsid w:val="00E818D6"/>
    <w:rsid w:val="00E8348F"/>
    <w:rsid w:val="00E860D4"/>
    <w:rsid w:val="00E87F7A"/>
    <w:rsid w:val="00E87FA2"/>
    <w:rsid w:val="00E907EC"/>
    <w:rsid w:val="00E93B43"/>
    <w:rsid w:val="00E96BD7"/>
    <w:rsid w:val="00EA0DB1"/>
    <w:rsid w:val="00EA0EE9"/>
    <w:rsid w:val="00EA2DA0"/>
    <w:rsid w:val="00EA7138"/>
    <w:rsid w:val="00EB0BFC"/>
    <w:rsid w:val="00EB151A"/>
    <w:rsid w:val="00EB2F49"/>
    <w:rsid w:val="00EC4482"/>
    <w:rsid w:val="00ED0A6D"/>
    <w:rsid w:val="00ED256F"/>
    <w:rsid w:val="00ED52CA"/>
    <w:rsid w:val="00ED5860"/>
    <w:rsid w:val="00ED607A"/>
    <w:rsid w:val="00ED7DC9"/>
    <w:rsid w:val="00EE357B"/>
    <w:rsid w:val="00EE35C9"/>
    <w:rsid w:val="00EE4103"/>
    <w:rsid w:val="00EE5586"/>
    <w:rsid w:val="00EE612A"/>
    <w:rsid w:val="00EE78D1"/>
    <w:rsid w:val="00EF3272"/>
    <w:rsid w:val="00EF3F72"/>
    <w:rsid w:val="00F05ECA"/>
    <w:rsid w:val="00F07877"/>
    <w:rsid w:val="00F2394D"/>
    <w:rsid w:val="00F3062B"/>
    <w:rsid w:val="00F33129"/>
    <w:rsid w:val="00F3566E"/>
    <w:rsid w:val="00F375FB"/>
    <w:rsid w:val="00F4101C"/>
    <w:rsid w:val="00F41AA7"/>
    <w:rsid w:val="00F41AC1"/>
    <w:rsid w:val="00F4367A"/>
    <w:rsid w:val="00F445B1"/>
    <w:rsid w:val="00F457C9"/>
    <w:rsid w:val="00F4597D"/>
    <w:rsid w:val="00F45CD4"/>
    <w:rsid w:val="00F66DCA"/>
    <w:rsid w:val="00F7193A"/>
    <w:rsid w:val="00F74F53"/>
    <w:rsid w:val="00F7606D"/>
    <w:rsid w:val="00F77689"/>
    <w:rsid w:val="00F81670"/>
    <w:rsid w:val="00F82024"/>
    <w:rsid w:val="00F8591A"/>
    <w:rsid w:val="00F95BC9"/>
    <w:rsid w:val="00FA12CE"/>
    <w:rsid w:val="00FA295E"/>
    <w:rsid w:val="00FA397D"/>
    <w:rsid w:val="00FA624C"/>
    <w:rsid w:val="00FB4BAA"/>
    <w:rsid w:val="00FC1C1D"/>
    <w:rsid w:val="00FC1CD9"/>
    <w:rsid w:val="00FD020B"/>
    <w:rsid w:val="00FD0FAC"/>
    <w:rsid w:val="00FD1DFA"/>
    <w:rsid w:val="00FD4966"/>
    <w:rsid w:val="00FD4B9A"/>
    <w:rsid w:val="00FE57DC"/>
    <w:rsid w:val="00FF1F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07B38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iPriority="11" w:unhideWhenUsed="0"/>
    <w:lsdException w:name="Salutation" w:semiHidden="0" w:unhideWhenUsed="0"/>
    <w:lsdException w:name="Date" w:semiHidden="0" w:unhideWhenUsed="0"/>
    <w:lsdException w:name="Body Text First Indent" w:semiHidden="0" w:unhideWhenUsed="0"/>
    <w:lsdException w:name="Hyperlink" w:qFormat="1"/>
    <w:lsdException w:name="Strong" w:semiHidden="0" w:unhideWhenUsed="0"/>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numPr>
        <w:numId w:val="6"/>
      </w:numPr>
      <w:spacing w:before="240"/>
      <w:outlineLvl w:val="0"/>
    </w:pPr>
    <w:rPr>
      <w:b/>
    </w:rPr>
  </w:style>
  <w:style w:type="paragraph" w:styleId="Heading2">
    <w:name w:val="heading 2"/>
    <w:aliases w:val="Sub-heading"/>
    <w:basedOn w:val="Normal"/>
    <w:next w:val="Normal"/>
    <w:qFormat/>
    <w:rsid w:val="00404032"/>
    <w:pPr>
      <w:numPr>
        <w:ilvl w:val="1"/>
        <w:numId w:val="6"/>
      </w:numPr>
      <w:outlineLvl w:val="1"/>
    </w:pPr>
    <w:rPr>
      <w:u w:val="single"/>
    </w:rPr>
  </w:style>
  <w:style w:type="paragraph" w:styleId="Heading3">
    <w:name w:val="heading 3"/>
    <w:basedOn w:val="Normal"/>
    <w:next w:val="Normal"/>
    <w:link w:val="Heading3Char"/>
    <w:semiHidden/>
    <w:unhideWhenUsed/>
    <w:qFormat/>
    <w:rsid w:val="007B5646"/>
    <w:pPr>
      <w:keepNext/>
      <w:keepLines/>
      <w:numPr>
        <w:ilvl w:val="2"/>
        <w:numId w:val="6"/>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7B5646"/>
    <w:pPr>
      <w:keepNext/>
      <w:keepLines/>
      <w:numPr>
        <w:ilvl w:val="3"/>
        <w:numId w:val="6"/>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7B5646"/>
    <w:pPr>
      <w:keepNext/>
      <w:keepLines/>
      <w:numPr>
        <w:ilvl w:val="4"/>
        <w:numId w:val="6"/>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7B5646"/>
    <w:pPr>
      <w:keepNext/>
      <w:keepLines/>
      <w:numPr>
        <w:ilvl w:val="5"/>
        <w:numId w:val="6"/>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7B5646"/>
    <w:pPr>
      <w:keepNext/>
      <w:keepLines/>
      <w:numPr>
        <w:ilvl w:val="6"/>
        <w:numId w:val="6"/>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7B5646"/>
    <w:pPr>
      <w:keepNext/>
      <w:keepLines/>
      <w:numPr>
        <w:ilvl w:val="7"/>
        <w:numId w:val="6"/>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7B5646"/>
    <w:pPr>
      <w:keepNext/>
      <w:keepLines/>
      <w:numPr>
        <w:ilvl w:val="8"/>
        <w:numId w:val="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2"/>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5570B5"/>
    <w:pPr>
      <w:numPr>
        <w:numId w:val="3"/>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5"/>
      </w:numPr>
      <w:ind w:left="993" w:hanging="426"/>
    </w:pPr>
  </w:style>
  <w:style w:type="character" w:customStyle="1" w:styleId="Heading1Char">
    <w:name w:val="Heading 1 Char"/>
    <w:aliases w:val="aHeading Char"/>
    <w:link w:val="Heading1"/>
    <w:rsid w:val="0050321C"/>
    <w:rPr>
      <w:b/>
      <w:color w:val="000000"/>
      <w:sz w:val="24"/>
      <w:szCs w:val="24"/>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paragraph" w:styleId="FootnoteText">
    <w:name w:val="footnote text"/>
    <w:basedOn w:val="Normal"/>
    <w:link w:val="FootnoteTextChar"/>
    <w:uiPriority w:val="99"/>
    <w:rsid w:val="002167EE"/>
    <w:pPr>
      <w:spacing w:after="0"/>
    </w:pPr>
    <w:rPr>
      <w:sz w:val="20"/>
      <w:szCs w:val="20"/>
    </w:rPr>
  </w:style>
  <w:style w:type="character" w:customStyle="1" w:styleId="FootnoteTextChar">
    <w:name w:val="Footnote Text Char"/>
    <w:basedOn w:val="DefaultParagraphFont"/>
    <w:link w:val="FootnoteText"/>
    <w:uiPriority w:val="99"/>
    <w:rsid w:val="002167EE"/>
    <w:rPr>
      <w:color w:val="000000"/>
    </w:rPr>
  </w:style>
  <w:style w:type="character" w:styleId="FootnoteReference">
    <w:name w:val="footnote reference"/>
    <w:basedOn w:val="DefaultParagraphFont"/>
    <w:uiPriority w:val="99"/>
    <w:rsid w:val="002167EE"/>
    <w:rPr>
      <w:vertAlign w:val="superscript"/>
    </w:rPr>
  </w:style>
  <w:style w:type="paragraph" w:customStyle="1" w:styleId="Default">
    <w:name w:val="Default"/>
    <w:rsid w:val="00C63175"/>
    <w:pPr>
      <w:autoSpaceDE w:val="0"/>
      <w:autoSpaceDN w:val="0"/>
      <w:adjustRightInd w:val="0"/>
    </w:pPr>
    <w:rPr>
      <w:rFonts w:eastAsiaTheme="minorHAnsi" w:cs="Arial"/>
      <w:color w:val="000000"/>
      <w:sz w:val="24"/>
      <w:szCs w:val="24"/>
      <w:lang w:eastAsia="en-US"/>
    </w:rPr>
  </w:style>
  <w:style w:type="character" w:customStyle="1" w:styleId="Heading3Char">
    <w:name w:val="Heading 3 Char"/>
    <w:basedOn w:val="DefaultParagraphFont"/>
    <w:link w:val="Heading3"/>
    <w:semiHidden/>
    <w:rsid w:val="007B5646"/>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semiHidden/>
    <w:rsid w:val="007B5646"/>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semiHidden/>
    <w:rsid w:val="007B5646"/>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semiHidden/>
    <w:rsid w:val="007B5646"/>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semiHidden/>
    <w:rsid w:val="007B5646"/>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semiHidden/>
    <w:rsid w:val="007B5646"/>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7B5646"/>
    <w:rPr>
      <w:rFonts w:asciiTheme="majorHAnsi" w:eastAsiaTheme="majorEastAsia" w:hAnsiTheme="majorHAnsi" w:cstheme="majorBidi"/>
      <w:i/>
      <w:iCs/>
      <w:color w:val="404040" w:themeColor="text1" w:themeTint="BF"/>
    </w:rPr>
  </w:style>
  <w:style w:type="character" w:customStyle="1" w:styleId="CommentTextChar">
    <w:name w:val="Comment Text Char"/>
    <w:basedOn w:val="DefaultParagraphFont"/>
    <w:link w:val="CommentText"/>
    <w:uiPriority w:val="99"/>
    <w:semiHidden/>
    <w:rsid w:val="003660B7"/>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iPriority="11" w:unhideWhenUsed="0"/>
    <w:lsdException w:name="Salutation" w:semiHidden="0" w:unhideWhenUsed="0"/>
    <w:lsdException w:name="Date" w:semiHidden="0" w:unhideWhenUsed="0"/>
    <w:lsdException w:name="Body Text First Indent" w:semiHidden="0" w:unhideWhenUsed="0"/>
    <w:lsdException w:name="Hyperlink" w:qFormat="1"/>
    <w:lsdException w:name="Strong" w:semiHidden="0" w:unhideWhenUsed="0"/>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numPr>
        <w:numId w:val="6"/>
      </w:numPr>
      <w:spacing w:before="240"/>
      <w:outlineLvl w:val="0"/>
    </w:pPr>
    <w:rPr>
      <w:b/>
    </w:rPr>
  </w:style>
  <w:style w:type="paragraph" w:styleId="Heading2">
    <w:name w:val="heading 2"/>
    <w:aliases w:val="Sub-heading"/>
    <w:basedOn w:val="Normal"/>
    <w:next w:val="Normal"/>
    <w:qFormat/>
    <w:rsid w:val="00404032"/>
    <w:pPr>
      <w:numPr>
        <w:ilvl w:val="1"/>
        <w:numId w:val="6"/>
      </w:numPr>
      <w:outlineLvl w:val="1"/>
    </w:pPr>
    <w:rPr>
      <w:u w:val="single"/>
    </w:rPr>
  </w:style>
  <w:style w:type="paragraph" w:styleId="Heading3">
    <w:name w:val="heading 3"/>
    <w:basedOn w:val="Normal"/>
    <w:next w:val="Normal"/>
    <w:link w:val="Heading3Char"/>
    <w:semiHidden/>
    <w:unhideWhenUsed/>
    <w:qFormat/>
    <w:rsid w:val="007B5646"/>
    <w:pPr>
      <w:keepNext/>
      <w:keepLines/>
      <w:numPr>
        <w:ilvl w:val="2"/>
        <w:numId w:val="6"/>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7B5646"/>
    <w:pPr>
      <w:keepNext/>
      <w:keepLines/>
      <w:numPr>
        <w:ilvl w:val="3"/>
        <w:numId w:val="6"/>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7B5646"/>
    <w:pPr>
      <w:keepNext/>
      <w:keepLines/>
      <w:numPr>
        <w:ilvl w:val="4"/>
        <w:numId w:val="6"/>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7B5646"/>
    <w:pPr>
      <w:keepNext/>
      <w:keepLines/>
      <w:numPr>
        <w:ilvl w:val="5"/>
        <w:numId w:val="6"/>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7B5646"/>
    <w:pPr>
      <w:keepNext/>
      <w:keepLines/>
      <w:numPr>
        <w:ilvl w:val="6"/>
        <w:numId w:val="6"/>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7B5646"/>
    <w:pPr>
      <w:keepNext/>
      <w:keepLines/>
      <w:numPr>
        <w:ilvl w:val="7"/>
        <w:numId w:val="6"/>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7B5646"/>
    <w:pPr>
      <w:keepNext/>
      <w:keepLines/>
      <w:numPr>
        <w:ilvl w:val="8"/>
        <w:numId w:val="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2"/>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5570B5"/>
    <w:pPr>
      <w:numPr>
        <w:numId w:val="3"/>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5"/>
      </w:numPr>
      <w:ind w:left="993" w:hanging="426"/>
    </w:pPr>
  </w:style>
  <w:style w:type="character" w:customStyle="1" w:styleId="Heading1Char">
    <w:name w:val="Heading 1 Char"/>
    <w:aliases w:val="aHeading Char"/>
    <w:link w:val="Heading1"/>
    <w:rsid w:val="0050321C"/>
    <w:rPr>
      <w:b/>
      <w:color w:val="000000"/>
      <w:sz w:val="24"/>
      <w:szCs w:val="24"/>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paragraph" w:styleId="FootnoteText">
    <w:name w:val="footnote text"/>
    <w:basedOn w:val="Normal"/>
    <w:link w:val="FootnoteTextChar"/>
    <w:uiPriority w:val="99"/>
    <w:rsid w:val="002167EE"/>
    <w:pPr>
      <w:spacing w:after="0"/>
    </w:pPr>
    <w:rPr>
      <w:sz w:val="20"/>
      <w:szCs w:val="20"/>
    </w:rPr>
  </w:style>
  <w:style w:type="character" w:customStyle="1" w:styleId="FootnoteTextChar">
    <w:name w:val="Footnote Text Char"/>
    <w:basedOn w:val="DefaultParagraphFont"/>
    <w:link w:val="FootnoteText"/>
    <w:uiPriority w:val="99"/>
    <w:rsid w:val="002167EE"/>
    <w:rPr>
      <w:color w:val="000000"/>
    </w:rPr>
  </w:style>
  <w:style w:type="character" w:styleId="FootnoteReference">
    <w:name w:val="footnote reference"/>
    <w:basedOn w:val="DefaultParagraphFont"/>
    <w:uiPriority w:val="99"/>
    <w:rsid w:val="002167EE"/>
    <w:rPr>
      <w:vertAlign w:val="superscript"/>
    </w:rPr>
  </w:style>
  <w:style w:type="paragraph" w:customStyle="1" w:styleId="Default">
    <w:name w:val="Default"/>
    <w:rsid w:val="00C63175"/>
    <w:pPr>
      <w:autoSpaceDE w:val="0"/>
      <w:autoSpaceDN w:val="0"/>
      <w:adjustRightInd w:val="0"/>
    </w:pPr>
    <w:rPr>
      <w:rFonts w:eastAsiaTheme="minorHAnsi" w:cs="Arial"/>
      <w:color w:val="000000"/>
      <w:sz w:val="24"/>
      <w:szCs w:val="24"/>
      <w:lang w:eastAsia="en-US"/>
    </w:rPr>
  </w:style>
  <w:style w:type="character" w:customStyle="1" w:styleId="Heading3Char">
    <w:name w:val="Heading 3 Char"/>
    <w:basedOn w:val="DefaultParagraphFont"/>
    <w:link w:val="Heading3"/>
    <w:semiHidden/>
    <w:rsid w:val="007B5646"/>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semiHidden/>
    <w:rsid w:val="007B5646"/>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semiHidden/>
    <w:rsid w:val="007B5646"/>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semiHidden/>
    <w:rsid w:val="007B5646"/>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semiHidden/>
    <w:rsid w:val="007B5646"/>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semiHidden/>
    <w:rsid w:val="007B5646"/>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7B5646"/>
    <w:rPr>
      <w:rFonts w:asciiTheme="majorHAnsi" w:eastAsiaTheme="majorEastAsia" w:hAnsiTheme="majorHAnsi" w:cstheme="majorBidi"/>
      <w:i/>
      <w:iCs/>
      <w:color w:val="404040" w:themeColor="text1" w:themeTint="BF"/>
    </w:rPr>
  </w:style>
  <w:style w:type="character" w:customStyle="1" w:styleId="CommentTextChar">
    <w:name w:val="Comment Text Char"/>
    <w:basedOn w:val="DefaultParagraphFont"/>
    <w:link w:val="CommentText"/>
    <w:uiPriority w:val="99"/>
    <w:semiHidden/>
    <w:rsid w:val="003660B7"/>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5654">
      <w:bodyDiv w:val="1"/>
      <w:marLeft w:val="0"/>
      <w:marRight w:val="0"/>
      <w:marTop w:val="0"/>
      <w:marBottom w:val="0"/>
      <w:divBdr>
        <w:top w:val="none" w:sz="0" w:space="0" w:color="auto"/>
        <w:left w:val="none" w:sz="0" w:space="0" w:color="auto"/>
        <w:bottom w:val="none" w:sz="0" w:space="0" w:color="auto"/>
        <w:right w:val="none" w:sz="0" w:space="0" w:color="auto"/>
      </w:divBdr>
    </w:div>
    <w:div w:id="59987855">
      <w:bodyDiv w:val="1"/>
      <w:marLeft w:val="0"/>
      <w:marRight w:val="0"/>
      <w:marTop w:val="0"/>
      <w:marBottom w:val="0"/>
      <w:divBdr>
        <w:top w:val="none" w:sz="0" w:space="0" w:color="auto"/>
        <w:left w:val="none" w:sz="0" w:space="0" w:color="auto"/>
        <w:bottom w:val="none" w:sz="0" w:space="0" w:color="auto"/>
        <w:right w:val="none" w:sz="0" w:space="0" w:color="auto"/>
      </w:divBdr>
    </w:div>
    <w:div w:id="65807469">
      <w:bodyDiv w:val="1"/>
      <w:marLeft w:val="0"/>
      <w:marRight w:val="0"/>
      <w:marTop w:val="0"/>
      <w:marBottom w:val="0"/>
      <w:divBdr>
        <w:top w:val="none" w:sz="0" w:space="0" w:color="auto"/>
        <w:left w:val="none" w:sz="0" w:space="0" w:color="auto"/>
        <w:bottom w:val="none" w:sz="0" w:space="0" w:color="auto"/>
        <w:right w:val="none" w:sz="0" w:space="0" w:color="auto"/>
      </w:divBdr>
    </w:div>
    <w:div w:id="82343604">
      <w:bodyDiv w:val="1"/>
      <w:marLeft w:val="0"/>
      <w:marRight w:val="0"/>
      <w:marTop w:val="0"/>
      <w:marBottom w:val="0"/>
      <w:divBdr>
        <w:top w:val="none" w:sz="0" w:space="0" w:color="auto"/>
        <w:left w:val="none" w:sz="0" w:space="0" w:color="auto"/>
        <w:bottom w:val="none" w:sz="0" w:space="0" w:color="auto"/>
        <w:right w:val="none" w:sz="0" w:space="0" w:color="auto"/>
      </w:divBdr>
    </w:div>
    <w:div w:id="143739514">
      <w:bodyDiv w:val="1"/>
      <w:marLeft w:val="0"/>
      <w:marRight w:val="0"/>
      <w:marTop w:val="0"/>
      <w:marBottom w:val="0"/>
      <w:divBdr>
        <w:top w:val="none" w:sz="0" w:space="0" w:color="auto"/>
        <w:left w:val="none" w:sz="0" w:space="0" w:color="auto"/>
        <w:bottom w:val="none" w:sz="0" w:space="0" w:color="auto"/>
        <w:right w:val="none" w:sz="0" w:space="0" w:color="auto"/>
      </w:divBdr>
    </w:div>
    <w:div w:id="171260297">
      <w:bodyDiv w:val="1"/>
      <w:marLeft w:val="0"/>
      <w:marRight w:val="0"/>
      <w:marTop w:val="0"/>
      <w:marBottom w:val="0"/>
      <w:divBdr>
        <w:top w:val="none" w:sz="0" w:space="0" w:color="auto"/>
        <w:left w:val="none" w:sz="0" w:space="0" w:color="auto"/>
        <w:bottom w:val="none" w:sz="0" w:space="0" w:color="auto"/>
        <w:right w:val="none" w:sz="0" w:space="0" w:color="auto"/>
      </w:divBdr>
    </w:div>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17859574">
      <w:bodyDiv w:val="1"/>
      <w:marLeft w:val="0"/>
      <w:marRight w:val="0"/>
      <w:marTop w:val="0"/>
      <w:marBottom w:val="0"/>
      <w:divBdr>
        <w:top w:val="none" w:sz="0" w:space="0" w:color="auto"/>
        <w:left w:val="none" w:sz="0" w:space="0" w:color="auto"/>
        <w:bottom w:val="none" w:sz="0" w:space="0" w:color="auto"/>
        <w:right w:val="none" w:sz="0" w:space="0" w:color="auto"/>
      </w:divBdr>
    </w:div>
    <w:div w:id="235674694">
      <w:bodyDiv w:val="1"/>
      <w:marLeft w:val="0"/>
      <w:marRight w:val="0"/>
      <w:marTop w:val="0"/>
      <w:marBottom w:val="0"/>
      <w:divBdr>
        <w:top w:val="none" w:sz="0" w:space="0" w:color="auto"/>
        <w:left w:val="none" w:sz="0" w:space="0" w:color="auto"/>
        <w:bottom w:val="none" w:sz="0" w:space="0" w:color="auto"/>
        <w:right w:val="none" w:sz="0" w:space="0" w:color="auto"/>
      </w:divBdr>
    </w:div>
    <w:div w:id="237135555">
      <w:bodyDiv w:val="1"/>
      <w:marLeft w:val="0"/>
      <w:marRight w:val="0"/>
      <w:marTop w:val="0"/>
      <w:marBottom w:val="0"/>
      <w:divBdr>
        <w:top w:val="none" w:sz="0" w:space="0" w:color="auto"/>
        <w:left w:val="none" w:sz="0" w:space="0" w:color="auto"/>
        <w:bottom w:val="none" w:sz="0" w:space="0" w:color="auto"/>
        <w:right w:val="none" w:sz="0" w:space="0" w:color="auto"/>
      </w:divBdr>
    </w:div>
    <w:div w:id="253589978">
      <w:bodyDiv w:val="1"/>
      <w:marLeft w:val="0"/>
      <w:marRight w:val="0"/>
      <w:marTop w:val="0"/>
      <w:marBottom w:val="0"/>
      <w:divBdr>
        <w:top w:val="none" w:sz="0" w:space="0" w:color="auto"/>
        <w:left w:val="none" w:sz="0" w:space="0" w:color="auto"/>
        <w:bottom w:val="none" w:sz="0" w:space="0" w:color="auto"/>
        <w:right w:val="none" w:sz="0" w:space="0" w:color="auto"/>
      </w:divBdr>
      <w:divsChild>
        <w:div w:id="144053061">
          <w:marLeft w:val="547"/>
          <w:marRight w:val="0"/>
          <w:marTop w:val="106"/>
          <w:marBottom w:val="0"/>
          <w:divBdr>
            <w:top w:val="none" w:sz="0" w:space="0" w:color="auto"/>
            <w:left w:val="none" w:sz="0" w:space="0" w:color="auto"/>
            <w:bottom w:val="none" w:sz="0" w:space="0" w:color="auto"/>
            <w:right w:val="none" w:sz="0" w:space="0" w:color="auto"/>
          </w:divBdr>
        </w:div>
        <w:div w:id="364019021">
          <w:marLeft w:val="547"/>
          <w:marRight w:val="0"/>
          <w:marTop w:val="106"/>
          <w:marBottom w:val="0"/>
          <w:divBdr>
            <w:top w:val="none" w:sz="0" w:space="0" w:color="auto"/>
            <w:left w:val="none" w:sz="0" w:space="0" w:color="auto"/>
            <w:bottom w:val="none" w:sz="0" w:space="0" w:color="auto"/>
            <w:right w:val="none" w:sz="0" w:space="0" w:color="auto"/>
          </w:divBdr>
        </w:div>
        <w:div w:id="283852838">
          <w:marLeft w:val="547"/>
          <w:marRight w:val="0"/>
          <w:marTop w:val="106"/>
          <w:marBottom w:val="0"/>
          <w:divBdr>
            <w:top w:val="none" w:sz="0" w:space="0" w:color="auto"/>
            <w:left w:val="none" w:sz="0" w:space="0" w:color="auto"/>
            <w:bottom w:val="none" w:sz="0" w:space="0" w:color="auto"/>
            <w:right w:val="none" w:sz="0" w:space="0" w:color="auto"/>
          </w:divBdr>
        </w:div>
        <w:div w:id="1191992680">
          <w:marLeft w:val="547"/>
          <w:marRight w:val="0"/>
          <w:marTop w:val="106"/>
          <w:marBottom w:val="0"/>
          <w:divBdr>
            <w:top w:val="none" w:sz="0" w:space="0" w:color="auto"/>
            <w:left w:val="none" w:sz="0" w:space="0" w:color="auto"/>
            <w:bottom w:val="none" w:sz="0" w:space="0" w:color="auto"/>
            <w:right w:val="none" w:sz="0" w:space="0" w:color="auto"/>
          </w:divBdr>
        </w:div>
        <w:div w:id="858858352">
          <w:marLeft w:val="547"/>
          <w:marRight w:val="0"/>
          <w:marTop w:val="106"/>
          <w:marBottom w:val="0"/>
          <w:divBdr>
            <w:top w:val="none" w:sz="0" w:space="0" w:color="auto"/>
            <w:left w:val="none" w:sz="0" w:space="0" w:color="auto"/>
            <w:bottom w:val="none" w:sz="0" w:space="0" w:color="auto"/>
            <w:right w:val="none" w:sz="0" w:space="0" w:color="auto"/>
          </w:divBdr>
        </w:div>
      </w:divsChild>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268509709">
      <w:bodyDiv w:val="1"/>
      <w:marLeft w:val="0"/>
      <w:marRight w:val="0"/>
      <w:marTop w:val="0"/>
      <w:marBottom w:val="0"/>
      <w:divBdr>
        <w:top w:val="none" w:sz="0" w:space="0" w:color="auto"/>
        <w:left w:val="none" w:sz="0" w:space="0" w:color="auto"/>
        <w:bottom w:val="none" w:sz="0" w:space="0" w:color="auto"/>
        <w:right w:val="none" w:sz="0" w:space="0" w:color="auto"/>
      </w:divBdr>
    </w:div>
    <w:div w:id="290478311">
      <w:bodyDiv w:val="1"/>
      <w:marLeft w:val="0"/>
      <w:marRight w:val="0"/>
      <w:marTop w:val="0"/>
      <w:marBottom w:val="0"/>
      <w:divBdr>
        <w:top w:val="none" w:sz="0" w:space="0" w:color="auto"/>
        <w:left w:val="none" w:sz="0" w:space="0" w:color="auto"/>
        <w:bottom w:val="none" w:sz="0" w:space="0" w:color="auto"/>
        <w:right w:val="none" w:sz="0" w:space="0" w:color="auto"/>
      </w:divBdr>
    </w:div>
    <w:div w:id="301008927">
      <w:bodyDiv w:val="1"/>
      <w:marLeft w:val="0"/>
      <w:marRight w:val="0"/>
      <w:marTop w:val="0"/>
      <w:marBottom w:val="0"/>
      <w:divBdr>
        <w:top w:val="none" w:sz="0" w:space="0" w:color="auto"/>
        <w:left w:val="none" w:sz="0" w:space="0" w:color="auto"/>
        <w:bottom w:val="none" w:sz="0" w:space="0" w:color="auto"/>
        <w:right w:val="none" w:sz="0" w:space="0" w:color="auto"/>
      </w:divBdr>
    </w:div>
    <w:div w:id="304896921">
      <w:bodyDiv w:val="1"/>
      <w:marLeft w:val="0"/>
      <w:marRight w:val="0"/>
      <w:marTop w:val="0"/>
      <w:marBottom w:val="0"/>
      <w:divBdr>
        <w:top w:val="none" w:sz="0" w:space="0" w:color="auto"/>
        <w:left w:val="none" w:sz="0" w:space="0" w:color="auto"/>
        <w:bottom w:val="none" w:sz="0" w:space="0" w:color="auto"/>
        <w:right w:val="none" w:sz="0" w:space="0" w:color="auto"/>
      </w:divBdr>
    </w:div>
    <w:div w:id="314339865">
      <w:bodyDiv w:val="1"/>
      <w:marLeft w:val="0"/>
      <w:marRight w:val="0"/>
      <w:marTop w:val="0"/>
      <w:marBottom w:val="0"/>
      <w:divBdr>
        <w:top w:val="none" w:sz="0" w:space="0" w:color="auto"/>
        <w:left w:val="none" w:sz="0" w:space="0" w:color="auto"/>
        <w:bottom w:val="none" w:sz="0" w:space="0" w:color="auto"/>
        <w:right w:val="none" w:sz="0" w:space="0" w:color="auto"/>
      </w:divBdr>
    </w:div>
    <w:div w:id="315768540">
      <w:bodyDiv w:val="1"/>
      <w:marLeft w:val="0"/>
      <w:marRight w:val="0"/>
      <w:marTop w:val="0"/>
      <w:marBottom w:val="0"/>
      <w:divBdr>
        <w:top w:val="none" w:sz="0" w:space="0" w:color="auto"/>
        <w:left w:val="none" w:sz="0" w:space="0" w:color="auto"/>
        <w:bottom w:val="none" w:sz="0" w:space="0" w:color="auto"/>
        <w:right w:val="none" w:sz="0" w:space="0" w:color="auto"/>
      </w:divBdr>
    </w:div>
    <w:div w:id="327564504">
      <w:bodyDiv w:val="1"/>
      <w:marLeft w:val="0"/>
      <w:marRight w:val="0"/>
      <w:marTop w:val="0"/>
      <w:marBottom w:val="0"/>
      <w:divBdr>
        <w:top w:val="none" w:sz="0" w:space="0" w:color="auto"/>
        <w:left w:val="none" w:sz="0" w:space="0" w:color="auto"/>
        <w:bottom w:val="none" w:sz="0" w:space="0" w:color="auto"/>
        <w:right w:val="none" w:sz="0" w:space="0" w:color="auto"/>
      </w:divBdr>
    </w:div>
    <w:div w:id="344136609">
      <w:bodyDiv w:val="1"/>
      <w:marLeft w:val="0"/>
      <w:marRight w:val="0"/>
      <w:marTop w:val="0"/>
      <w:marBottom w:val="0"/>
      <w:divBdr>
        <w:top w:val="none" w:sz="0" w:space="0" w:color="auto"/>
        <w:left w:val="none" w:sz="0" w:space="0" w:color="auto"/>
        <w:bottom w:val="none" w:sz="0" w:space="0" w:color="auto"/>
        <w:right w:val="none" w:sz="0" w:space="0" w:color="auto"/>
      </w:divBdr>
    </w:div>
    <w:div w:id="349452928">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404033921">
      <w:bodyDiv w:val="1"/>
      <w:marLeft w:val="0"/>
      <w:marRight w:val="0"/>
      <w:marTop w:val="0"/>
      <w:marBottom w:val="0"/>
      <w:divBdr>
        <w:top w:val="none" w:sz="0" w:space="0" w:color="auto"/>
        <w:left w:val="none" w:sz="0" w:space="0" w:color="auto"/>
        <w:bottom w:val="none" w:sz="0" w:space="0" w:color="auto"/>
        <w:right w:val="none" w:sz="0" w:space="0" w:color="auto"/>
      </w:divBdr>
    </w:div>
    <w:div w:id="411661748">
      <w:bodyDiv w:val="1"/>
      <w:marLeft w:val="0"/>
      <w:marRight w:val="0"/>
      <w:marTop w:val="0"/>
      <w:marBottom w:val="0"/>
      <w:divBdr>
        <w:top w:val="none" w:sz="0" w:space="0" w:color="auto"/>
        <w:left w:val="none" w:sz="0" w:space="0" w:color="auto"/>
        <w:bottom w:val="none" w:sz="0" w:space="0" w:color="auto"/>
        <w:right w:val="none" w:sz="0" w:space="0" w:color="auto"/>
      </w:divBdr>
    </w:div>
    <w:div w:id="445471332">
      <w:bodyDiv w:val="1"/>
      <w:marLeft w:val="0"/>
      <w:marRight w:val="0"/>
      <w:marTop w:val="0"/>
      <w:marBottom w:val="0"/>
      <w:divBdr>
        <w:top w:val="none" w:sz="0" w:space="0" w:color="auto"/>
        <w:left w:val="none" w:sz="0" w:space="0" w:color="auto"/>
        <w:bottom w:val="none" w:sz="0" w:space="0" w:color="auto"/>
        <w:right w:val="none" w:sz="0" w:space="0" w:color="auto"/>
      </w:divBdr>
    </w:div>
    <w:div w:id="460613849">
      <w:bodyDiv w:val="1"/>
      <w:marLeft w:val="0"/>
      <w:marRight w:val="0"/>
      <w:marTop w:val="0"/>
      <w:marBottom w:val="0"/>
      <w:divBdr>
        <w:top w:val="none" w:sz="0" w:space="0" w:color="auto"/>
        <w:left w:val="none" w:sz="0" w:space="0" w:color="auto"/>
        <w:bottom w:val="none" w:sz="0" w:space="0" w:color="auto"/>
        <w:right w:val="none" w:sz="0" w:space="0" w:color="auto"/>
      </w:divBdr>
    </w:div>
    <w:div w:id="460617309">
      <w:bodyDiv w:val="1"/>
      <w:marLeft w:val="0"/>
      <w:marRight w:val="0"/>
      <w:marTop w:val="0"/>
      <w:marBottom w:val="0"/>
      <w:divBdr>
        <w:top w:val="none" w:sz="0" w:space="0" w:color="auto"/>
        <w:left w:val="none" w:sz="0" w:space="0" w:color="auto"/>
        <w:bottom w:val="none" w:sz="0" w:space="0" w:color="auto"/>
        <w:right w:val="none" w:sz="0" w:space="0" w:color="auto"/>
      </w:divBdr>
    </w:div>
    <w:div w:id="465507584">
      <w:bodyDiv w:val="1"/>
      <w:marLeft w:val="0"/>
      <w:marRight w:val="0"/>
      <w:marTop w:val="0"/>
      <w:marBottom w:val="0"/>
      <w:divBdr>
        <w:top w:val="none" w:sz="0" w:space="0" w:color="auto"/>
        <w:left w:val="none" w:sz="0" w:space="0" w:color="auto"/>
        <w:bottom w:val="none" w:sz="0" w:space="0" w:color="auto"/>
        <w:right w:val="none" w:sz="0" w:space="0" w:color="auto"/>
      </w:divBdr>
    </w:div>
    <w:div w:id="466509074">
      <w:bodyDiv w:val="1"/>
      <w:marLeft w:val="0"/>
      <w:marRight w:val="0"/>
      <w:marTop w:val="0"/>
      <w:marBottom w:val="0"/>
      <w:divBdr>
        <w:top w:val="none" w:sz="0" w:space="0" w:color="auto"/>
        <w:left w:val="none" w:sz="0" w:space="0" w:color="auto"/>
        <w:bottom w:val="none" w:sz="0" w:space="0" w:color="auto"/>
        <w:right w:val="none" w:sz="0" w:space="0" w:color="auto"/>
      </w:divBdr>
    </w:div>
    <w:div w:id="493645894">
      <w:bodyDiv w:val="1"/>
      <w:marLeft w:val="0"/>
      <w:marRight w:val="0"/>
      <w:marTop w:val="0"/>
      <w:marBottom w:val="0"/>
      <w:divBdr>
        <w:top w:val="none" w:sz="0" w:space="0" w:color="auto"/>
        <w:left w:val="none" w:sz="0" w:space="0" w:color="auto"/>
        <w:bottom w:val="none" w:sz="0" w:space="0" w:color="auto"/>
        <w:right w:val="none" w:sz="0" w:space="0" w:color="auto"/>
      </w:divBdr>
    </w:div>
    <w:div w:id="551576107">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576748946">
      <w:bodyDiv w:val="1"/>
      <w:marLeft w:val="0"/>
      <w:marRight w:val="0"/>
      <w:marTop w:val="0"/>
      <w:marBottom w:val="0"/>
      <w:divBdr>
        <w:top w:val="none" w:sz="0" w:space="0" w:color="auto"/>
        <w:left w:val="none" w:sz="0" w:space="0" w:color="auto"/>
        <w:bottom w:val="none" w:sz="0" w:space="0" w:color="auto"/>
        <w:right w:val="none" w:sz="0" w:space="0" w:color="auto"/>
      </w:divBdr>
    </w:div>
    <w:div w:id="601305891">
      <w:bodyDiv w:val="1"/>
      <w:marLeft w:val="0"/>
      <w:marRight w:val="0"/>
      <w:marTop w:val="0"/>
      <w:marBottom w:val="0"/>
      <w:divBdr>
        <w:top w:val="none" w:sz="0" w:space="0" w:color="auto"/>
        <w:left w:val="none" w:sz="0" w:space="0" w:color="auto"/>
        <w:bottom w:val="none" w:sz="0" w:space="0" w:color="auto"/>
        <w:right w:val="none" w:sz="0" w:space="0" w:color="auto"/>
      </w:divBdr>
    </w:div>
    <w:div w:id="633022814">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695812025">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778716470">
      <w:bodyDiv w:val="1"/>
      <w:marLeft w:val="0"/>
      <w:marRight w:val="0"/>
      <w:marTop w:val="0"/>
      <w:marBottom w:val="0"/>
      <w:divBdr>
        <w:top w:val="none" w:sz="0" w:space="0" w:color="auto"/>
        <w:left w:val="none" w:sz="0" w:space="0" w:color="auto"/>
        <w:bottom w:val="none" w:sz="0" w:space="0" w:color="auto"/>
        <w:right w:val="none" w:sz="0" w:space="0" w:color="auto"/>
      </w:divBdr>
    </w:div>
    <w:div w:id="783575992">
      <w:bodyDiv w:val="1"/>
      <w:marLeft w:val="0"/>
      <w:marRight w:val="0"/>
      <w:marTop w:val="0"/>
      <w:marBottom w:val="0"/>
      <w:divBdr>
        <w:top w:val="none" w:sz="0" w:space="0" w:color="auto"/>
        <w:left w:val="none" w:sz="0" w:space="0" w:color="auto"/>
        <w:bottom w:val="none" w:sz="0" w:space="0" w:color="auto"/>
        <w:right w:val="none" w:sz="0" w:space="0" w:color="auto"/>
      </w:divBdr>
    </w:div>
    <w:div w:id="788860447">
      <w:bodyDiv w:val="1"/>
      <w:marLeft w:val="0"/>
      <w:marRight w:val="0"/>
      <w:marTop w:val="0"/>
      <w:marBottom w:val="0"/>
      <w:divBdr>
        <w:top w:val="none" w:sz="0" w:space="0" w:color="auto"/>
        <w:left w:val="none" w:sz="0" w:space="0" w:color="auto"/>
        <w:bottom w:val="none" w:sz="0" w:space="0" w:color="auto"/>
        <w:right w:val="none" w:sz="0" w:space="0" w:color="auto"/>
      </w:divBdr>
    </w:div>
    <w:div w:id="794912190">
      <w:bodyDiv w:val="1"/>
      <w:marLeft w:val="0"/>
      <w:marRight w:val="0"/>
      <w:marTop w:val="0"/>
      <w:marBottom w:val="0"/>
      <w:divBdr>
        <w:top w:val="none" w:sz="0" w:space="0" w:color="auto"/>
        <w:left w:val="none" w:sz="0" w:space="0" w:color="auto"/>
        <w:bottom w:val="none" w:sz="0" w:space="0" w:color="auto"/>
        <w:right w:val="none" w:sz="0" w:space="0" w:color="auto"/>
      </w:divBdr>
    </w:div>
    <w:div w:id="797845976">
      <w:bodyDiv w:val="1"/>
      <w:marLeft w:val="0"/>
      <w:marRight w:val="0"/>
      <w:marTop w:val="0"/>
      <w:marBottom w:val="0"/>
      <w:divBdr>
        <w:top w:val="none" w:sz="0" w:space="0" w:color="auto"/>
        <w:left w:val="none" w:sz="0" w:space="0" w:color="auto"/>
        <w:bottom w:val="none" w:sz="0" w:space="0" w:color="auto"/>
        <w:right w:val="none" w:sz="0" w:space="0" w:color="auto"/>
      </w:divBdr>
    </w:div>
    <w:div w:id="801964398">
      <w:bodyDiv w:val="1"/>
      <w:marLeft w:val="0"/>
      <w:marRight w:val="0"/>
      <w:marTop w:val="0"/>
      <w:marBottom w:val="0"/>
      <w:divBdr>
        <w:top w:val="none" w:sz="0" w:space="0" w:color="auto"/>
        <w:left w:val="none" w:sz="0" w:space="0" w:color="auto"/>
        <w:bottom w:val="none" w:sz="0" w:space="0" w:color="auto"/>
        <w:right w:val="none" w:sz="0" w:space="0" w:color="auto"/>
      </w:divBdr>
    </w:div>
    <w:div w:id="802114185">
      <w:bodyDiv w:val="1"/>
      <w:marLeft w:val="0"/>
      <w:marRight w:val="0"/>
      <w:marTop w:val="0"/>
      <w:marBottom w:val="0"/>
      <w:divBdr>
        <w:top w:val="none" w:sz="0" w:space="0" w:color="auto"/>
        <w:left w:val="none" w:sz="0" w:space="0" w:color="auto"/>
        <w:bottom w:val="none" w:sz="0" w:space="0" w:color="auto"/>
        <w:right w:val="none" w:sz="0" w:space="0" w:color="auto"/>
      </w:divBdr>
    </w:div>
    <w:div w:id="825558506">
      <w:bodyDiv w:val="1"/>
      <w:marLeft w:val="0"/>
      <w:marRight w:val="0"/>
      <w:marTop w:val="0"/>
      <w:marBottom w:val="0"/>
      <w:divBdr>
        <w:top w:val="none" w:sz="0" w:space="0" w:color="auto"/>
        <w:left w:val="none" w:sz="0" w:space="0" w:color="auto"/>
        <w:bottom w:val="none" w:sz="0" w:space="0" w:color="auto"/>
        <w:right w:val="none" w:sz="0" w:space="0" w:color="auto"/>
      </w:divBdr>
    </w:div>
    <w:div w:id="832767400">
      <w:bodyDiv w:val="1"/>
      <w:marLeft w:val="0"/>
      <w:marRight w:val="0"/>
      <w:marTop w:val="0"/>
      <w:marBottom w:val="0"/>
      <w:divBdr>
        <w:top w:val="none" w:sz="0" w:space="0" w:color="auto"/>
        <w:left w:val="none" w:sz="0" w:space="0" w:color="auto"/>
        <w:bottom w:val="none" w:sz="0" w:space="0" w:color="auto"/>
        <w:right w:val="none" w:sz="0" w:space="0" w:color="auto"/>
      </w:divBdr>
    </w:div>
    <w:div w:id="842815050">
      <w:bodyDiv w:val="1"/>
      <w:marLeft w:val="0"/>
      <w:marRight w:val="0"/>
      <w:marTop w:val="0"/>
      <w:marBottom w:val="0"/>
      <w:divBdr>
        <w:top w:val="none" w:sz="0" w:space="0" w:color="auto"/>
        <w:left w:val="none" w:sz="0" w:space="0" w:color="auto"/>
        <w:bottom w:val="none" w:sz="0" w:space="0" w:color="auto"/>
        <w:right w:val="none" w:sz="0" w:space="0" w:color="auto"/>
      </w:divBdr>
    </w:div>
    <w:div w:id="852109148">
      <w:bodyDiv w:val="1"/>
      <w:marLeft w:val="0"/>
      <w:marRight w:val="0"/>
      <w:marTop w:val="0"/>
      <w:marBottom w:val="0"/>
      <w:divBdr>
        <w:top w:val="none" w:sz="0" w:space="0" w:color="auto"/>
        <w:left w:val="none" w:sz="0" w:space="0" w:color="auto"/>
        <w:bottom w:val="none" w:sz="0" w:space="0" w:color="auto"/>
        <w:right w:val="none" w:sz="0" w:space="0" w:color="auto"/>
      </w:divBdr>
    </w:div>
    <w:div w:id="856385440">
      <w:bodyDiv w:val="1"/>
      <w:marLeft w:val="0"/>
      <w:marRight w:val="0"/>
      <w:marTop w:val="0"/>
      <w:marBottom w:val="0"/>
      <w:divBdr>
        <w:top w:val="none" w:sz="0" w:space="0" w:color="auto"/>
        <w:left w:val="none" w:sz="0" w:space="0" w:color="auto"/>
        <w:bottom w:val="none" w:sz="0" w:space="0" w:color="auto"/>
        <w:right w:val="none" w:sz="0" w:space="0" w:color="auto"/>
      </w:divBdr>
    </w:div>
    <w:div w:id="874151650">
      <w:bodyDiv w:val="1"/>
      <w:marLeft w:val="0"/>
      <w:marRight w:val="0"/>
      <w:marTop w:val="0"/>
      <w:marBottom w:val="0"/>
      <w:divBdr>
        <w:top w:val="none" w:sz="0" w:space="0" w:color="auto"/>
        <w:left w:val="none" w:sz="0" w:space="0" w:color="auto"/>
        <w:bottom w:val="none" w:sz="0" w:space="0" w:color="auto"/>
        <w:right w:val="none" w:sz="0" w:space="0" w:color="auto"/>
      </w:divBdr>
    </w:div>
    <w:div w:id="890770555">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898827201">
      <w:bodyDiv w:val="1"/>
      <w:marLeft w:val="0"/>
      <w:marRight w:val="0"/>
      <w:marTop w:val="0"/>
      <w:marBottom w:val="0"/>
      <w:divBdr>
        <w:top w:val="none" w:sz="0" w:space="0" w:color="auto"/>
        <w:left w:val="none" w:sz="0" w:space="0" w:color="auto"/>
        <w:bottom w:val="none" w:sz="0" w:space="0" w:color="auto"/>
        <w:right w:val="none" w:sz="0" w:space="0" w:color="auto"/>
      </w:divBdr>
    </w:div>
    <w:div w:id="901332211">
      <w:bodyDiv w:val="1"/>
      <w:marLeft w:val="0"/>
      <w:marRight w:val="0"/>
      <w:marTop w:val="0"/>
      <w:marBottom w:val="0"/>
      <w:divBdr>
        <w:top w:val="none" w:sz="0" w:space="0" w:color="auto"/>
        <w:left w:val="none" w:sz="0" w:space="0" w:color="auto"/>
        <w:bottom w:val="none" w:sz="0" w:space="0" w:color="auto"/>
        <w:right w:val="none" w:sz="0" w:space="0" w:color="auto"/>
      </w:divBdr>
    </w:div>
    <w:div w:id="902522368">
      <w:bodyDiv w:val="1"/>
      <w:marLeft w:val="0"/>
      <w:marRight w:val="0"/>
      <w:marTop w:val="0"/>
      <w:marBottom w:val="0"/>
      <w:divBdr>
        <w:top w:val="none" w:sz="0" w:space="0" w:color="auto"/>
        <w:left w:val="none" w:sz="0" w:space="0" w:color="auto"/>
        <w:bottom w:val="none" w:sz="0" w:space="0" w:color="auto"/>
        <w:right w:val="none" w:sz="0" w:space="0" w:color="auto"/>
      </w:divBdr>
    </w:div>
    <w:div w:id="949510091">
      <w:bodyDiv w:val="1"/>
      <w:marLeft w:val="0"/>
      <w:marRight w:val="0"/>
      <w:marTop w:val="0"/>
      <w:marBottom w:val="0"/>
      <w:divBdr>
        <w:top w:val="none" w:sz="0" w:space="0" w:color="auto"/>
        <w:left w:val="none" w:sz="0" w:space="0" w:color="auto"/>
        <w:bottom w:val="none" w:sz="0" w:space="0" w:color="auto"/>
        <w:right w:val="none" w:sz="0" w:space="0" w:color="auto"/>
      </w:divBdr>
    </w:div>
    <w:div w:id="959723396">
      <w:bodyDiv w:val="1"/>
      <w:marLeft w:val="0"/>
      <w:marRight w:val="0"/>
      <w:marTop w:val="0"/>
      <w:marBottom w:val="0"/>
      <w:divBdr>
        <w:top w:val="none" w:sz="0" w:space="0" w:color="auto"/>
        <w:left w:val="none" w:sz="0" w:space="0" w:color="auto"/>
        <w:bottom w:val="none" w:sz="0" w:space="0" w:color="auto"/>
        <w:right w:val="none" w:sz="0" w:space="0" w:color="auto"/>
      </w:divBdr>
    </w:div>
    <w:div w:id="967667299">
      <w:bodyDiv w:val="1"/>
      <w:marLeft w:val="0"/>
      <w:marRight w:val="0"/>
      <w:marTop w:val="0"/>
      <w:marBottom w:val="0"/>
      <w:divBdr>
        <w:top w:val="none" w:sz="0" w:space="0" w:color="auto"/>
        <w:left w:val="none" w:sz="0" w:space="0" w:color="auto"/>
        <w:bottom w:val="none" w:sz="0" w:space="0" w:color="auto"/>
        <w:right w:val="none" w:sz="0" w:space="0" w:color="auto"/>
      </w:divBdr>
    </w:div>
    <w:div w:id="975255360">
      <w:bodyDiv w:val="1"/>
      <w:marLeft w:val="0"/>
      <w:marRight w:val="0"/>
      <w:marTop w:val="0"/>
      <w:marBottom w:val="0"/>
      <w:divBdr>
        <w:top w:val="none" w:sz="0" w:space="0" w:color="auto"/>
        <w:left w:val="none" w:sz="0" w:space="0" w:color="auto"/>
        <w:bottom w:val="none" w:sz="0" w:space="0" w:color="auto"/>
        <w:right w:val="none" w:sz="0" w:space="0" w:color="auto"/>
      </w:divBdr>
    </w:div>
    <w:div w:id="1000430393">
      <w:bodyDiv w:val="1"/>
      <w:marLeft w:val="0"/>
      <w:marRight w:val="0"/>
      <w:marTop w:val="0"/>
      <w:marBottom w:val="0"/>
      <w:divBdr>
        <w:top w:val="none" w:sz="0" w:space="0" w:color="auto"/>
        <w:left w:val="none" w:sz="0" w:space="0" w:color="auto"/>
        <w:bottom w:val="none" w:sz="0" w:space="0" w:color="auto"/>
        <w:right w:val="none" w:sz="0" w:space="0" w:color="auto"/>
      </w:divBdr>
    </w:div>
    <w:div w:id="1003892715">
      <w:bodyDiv w:val="1"/>
      <w:marLeft w:val="0"/>
      <w:marRight w:val="0"/>
      <w:marTop w:val="0"/>
      <w:marBottom w:val="0"/>
      <w:divBdr>
        <w:top w:val="none" w:sz="0" w:space="0" w:color="auto"/>
        <w:left w:val="none" w:sz="0" w:space="0" w:color="auto"/>
        <w:bottom w:val="none" w:sz="0" w:space="0" w:color="auto"/>
        <w:right w:val="none" w:sz="0" w:space="0" w:color="auto"/>
      </w:divBdr>
      <w:divsChild>
        <w:div w:id="1124619063">
          <w:marLeft w:val="547"/>
          <w:marRight w:val="0"/>
          <w:marTop w:val="125"/>
          <w:marBottom w:val="0"/>
          <w:divBdr>
            <w:top w:val="none" w:sz="0" w:space="0" w:color="auto"/>
            <w:left w:val="none" w:sz="0" w:space="0" w:color="auto"/>
            <w:bottom w:val="none" w:sz="0" w:space="0" w:color="auto"/>
            <w:right w:val="none" w:sz="0" w:space="0" w:color="auto"/>
          </w:divBdr>
        </w:div>
        <w:div w:id="2121997067">
          <w:marLeft w:val="547"/>
          <w:marRight w:val="0"/>
          <w:marTop w:val="125"/>
          <w:marBottom w:val="0"/>
          <w:divBdr>
            <w:top w:val="none" w:sz="0" w:space="0" w:color="auto"/>
            <w:left w:val="none" w:sz="0" w:space="0" w:color="auto"/>
            <w:bottom w:val="none" w:sz="0" w:space="0" w:color="auto"/>
            <w:right w:val="none" w:sz="0" w:space="0" w:color="auto"/>
          </w:divBdr>
        </w:div>
        <w:div w:id="333578917">
          <w:marLeft w:val="547"/>
          <w:marRight w:val="0"/>
          <w:marTop w:val="125"/>
          <w:marBottom w:val="0"/>
          <w:divBdr>
            <w:top w:val="none" w:sz="0" w:space="0" w:color="auto"/>
            <w:left w:val="none" w:sz="0" w:space="0" w:color="auto"/>
            <w:bottom w:val="none" w:sz="0" w:space="0" w:color="auto"/>
            <w:right w:val="none" w:sz="0" w:space="0" w:color="auto"/>
          </w:divBdr>
        </w:div>
        <w:div w:id="1698046038">
          <w:marLeft w:val="1166"/>
          <w:marRight w:val="0"/>
          <w:marTop w:val="106"/>
          <w:marBottom w:val="0"/>
          <w:divBdr>
            <w:top w:val="none" w:sz="0" w:space="0" w:color="auto"/>
            <w:left w:val="none" w:sz="0" w:space="0" w:color="auto"/>
            <w:bottom w:val="none" w:sz="0" w:space="0" w:color="auto"/>
            <w:right w:val="none" w:sz="0" w:space="0" w:color="auto"/>
          </w:divBdr>
        </w:div>
        <w:div w:id="1431584367">
          <w:marLeft w:val="1166"/>
          <w:marRight w:val="0"/>
          <w:marTop w:val="106"/>
          <w:marBottom w:val="0"/>
          <w:divBdr>
            <w:top w:val="none" w:sz="0" w:space="0" w:color="auto"/>
            <w:left w:val="none" w:sz="0" w:space="0" w:color="auto"/>
            <w:bottom w:val="none" w:sz="0" w:space="0" w:color="auto"/>
            <w:right w:val="none" w:sz="0" w:space="0" w:color="auto"/>
          </w:divBdr>
        </w:div>
      </w:divsChild>
    </w:div>
    <w:div w:id="1041638043">
      <w:bodyDiv w:val="1"/>
      <w:marLeft w:val="0"/>
      <w:marRight w:val="0"/>
      <w:marTop w:val="0"/>
      <w:marBottom w:val="0"/>
      <w:divBdr>
        <w:top w:val="none" w:sz="0" w:space="0" w:color="auto"/>
        <w:left w:val="none" w:sz="0" w:space="0" w:color="auto"/>
        <w:bottom w:val="none" w:sz="0" w:space="0" w:color="auto"/>
        <w:right w:val="none" w:sz="0" w:space="0" w:color="auto"/>
      </w:divBdr>
    </w:div>
    <w:div w:id="1068259730">
      <w:bodyDiv w:val="1"/>
      <w:marLeft w:val="0"/>
      <w:marRight w:val="0"/>
      <w:marTop w:val="0"/>
      <w:marBottom w:val="0"/>
      <w:divBdr>
        <w:top w:val="none" w:sz="0" w:space="0" w:color="auto"/>
        <w:left w:val="none" w:sz="0" w:space="0" w:color="auto"/>
        <w:bottom w:val="none" w:sz="0" w:space="0" w:color="auto"/>
        <w:right w:val="none" w:sz="0" w:space="0" w:color="auto"/>
      </w:divBdr>
    </w:div>
    <w:div w:id="1074201405">
      <w:bodyDiv w:val="1"/>
      <w:marLeft w:val="0"/>
      <w:marRight w:val="0"/>
      <w:marTop w:val="0"/>
      <w:marBottom w:val="0"/>
      <w:divBdr>
        <w:top w:val="none" w:sz="0" w:space="0" w:color="auto"/>
        <w:left w:val="none" w:sz="0" w:space="0" w:color="auto"/>
        <w:bottom w:val="none" w:sz="0" w:space="0" w:color="auto"/>
        <w:right w:val="none" w:sz="0" w:space="0" w:color="auto"/>
      </w:divBdr>
    </w:div>
    <w:div w:id="1077050821">
      <w:bodyDiv w:val="1"/>
      <w:marLeft w:val="0"/>
      <w:marRight w:val="0"/>
      <w:marTop w:val="0"/>
      <w:marBottom w:val="0"/>
      <w:divBdr>
        <w:top w:val="none" w:sz="0" w:space="0" w:color="auto"/>
        <w:left w:val="none" w:sz="0" w:space="0" w:color="auto"/>
        <w:bottom w:val="none" w:sz="0" w:space="0" w:color="auto"/>
        <w:right w:val="none" w:sz="0" w:space="0" w:color="auto"/>
      </w:divBdr>
    </w:div>
    <w:div w:id="1091590004">
      <w:bodyDiv w:val="1"/>
      <w:marLeft w:val="0"/>
      <w:marRight w:val="0"/>
      <w:marTop w:val="0"/>
      <w:marBottom w:val="0"/>
      <w:divBdr>
        <w:top w:val="none" w:sz="0" w:space="0" w:color="auto"/>
        <w:left w:val="none" w:sz="0" w:space="0" w:color="auto"/>
        <w:bottom w:val="none" w:sz="0" w:space="0" w:color="auto"/>
        <w:right w:val="none" w:sz="0" w:space="0" w:color="auto"/>
      </w:divBdr>
    </w:div>
    <w:div w:id="1100678814">
      <w:bodyDiv w:val="1"/>
      <w:marLeft w:val="0"/>
      <w:marRight w:val="0"/>
      <w:marTop w:val="0"/>
      <w:marBottom w:val="0"/>
      <w:divBdr>
        <w:top w:val="none" w:sz="0" w:space="0" w:color="auto"/>
        <w:left w:val="none" w:sz="0" w:space="0" w:color="auto"/>
        <w:bottom w:val="none" w:sz="0" w:space="0" w:color="auto"/>
        <w:right w:val="none" w:sz="0" w:space="0" w:color="auto"/>
      </w:divBdr>
    </w:div>
    <w:div w:id="1102797365">
      <w:bodyDiv w:val="1"/>
      <w:marLeft w:val="0"/>
      <w:marRight w:val="0"/>
      <w:marTop w:val="0"/>
      <w:marBottom w:val="0"/>
      <w:divBdr>
        <w:top w:val="none" w:sz="0" w:space="0" w:color="auto"/>
        <w:left w:val="none" w:sz="0" w:space="0" w:color="auto"/>
        <w:bottom w:val="none" w:sz="0" w:space="0" w:color="auto"/>
        <w:right w:val="none" w:sz="0" w:space="0" w:color="auto"/>
      </w:divBdr>
    </w:div>
    <w:div w:id="1114011490">
      <w:bodyDiv w:val="1"/>
      <w:marLeft w:val="0"/>
      <w:marRight w:val="0"/>
      <w:marTop w:val="0"/>
      <w:marBottom w:val="0"/>
      <w:divBdr>
        <w:top w:val="none" w:sz="0" w:space="0" w:color="auto"/>
        <w:left w:val="none" w:sz="0" w:space="0" w:color="auto"/>
        <w:bottom w:val="none" w:sz="0" w:space="0" w:color="auto"/>
        <w:right w:val="none" w:sz="0" w:space="0" w:color="auto"/>
      </w:divBdr>
    </w:div>
    <w:div w:id="1114055388">
      <w:bodyDiv w:val="1"/>
      <w:marLeft w:val="0"/>
      <w:marRight w:val="0"/>
      <w:marTop w:val="0"/>
      <w:marBottom w:val="0"/>
      <w:divBdr>
        <w:top w:val="none" w:sz="0" w:space="0" w:color="auto"/>
        <w:left w:val="none" w:sz="0" w:space="0" w:color="auto"/>
        <w:bottom w:val="none" w:sz="0" w:space="0" w:color="auto"/>
        <w:right w:val="none" w:sz="0" w:space="0" w:color="auto"/>
      </w:divBdr>
    </w:div>
    <w:div w:id="1131249619">
      <w:bodyDiv w:val="1"/>
      <w:marLeft w:val="0"/>
      <w:marRight w:val="0"/>
      <w:marTop w:val="0"/>
      <w:marBottom w:val="0"/>
      <w:divBdr>
        <w:top w:val="none" w:sz="0" w:space="0" w:color="auto"/>
        <w:left w:val="none" w:sz="0" w:space="0" w:color="auto"/>
        <w:bottom w:val="none" w:sz="0" w:space="0" w:color="auto"/>
        <w:right w:val="none" w:sz="0" w:space="0" w:color="auto"/>
      </w:divBdr>
    </w:div>
    <w:div w:id="1136333550">
      <w:bodyDiv w:val="1"/>
      <w:marLeft w:val="0"/>
      <w:marRight w:val="0"/>
      <w:marTop w:val="0"/>
      <w:marBottom w:val="0"/>
      <w:divBdr>
        <w:top w:val="none" w:sz="0" w:space="0" w:color="auto"/>
        <w:left w:val="none" w:sz="0" w:space="0" w:color="auto"/>
        <w:bottom w:val="none" w:sz="0" w:space="0" w:color="auto"/>
        <w:right w:val="none" w:sz="0" w:space="0" w:color="auto"/>
      </w:divBdr>
    </w:div>
    <w:div w:id="1140265364">
      <w:bodyDiv w:val="1"/>
      <w:marLeft w:val="0"/>
      <w:marRight w:val="0"/>
      <w:marTop w:val="0"/>
      <w:marBottom w:val="0"/>
      <w:divBdr>
        <w:top w:val="none" w:sz="0" w:space="0" w:color="auto"/>
        <w:left w:val="none" w:sz="0" w:space="0" w:color="auto"/>
        <w:bottom w:val="none" w:sz="0" w:space="0" w:color="auto"/>
        <w:right w:val="none" w:sz="0" w:space="0" w:color="auto"/>
      </w:divBdr>
    </w:div>
    <w:div w:id="1165585948">
      <w:bodyDiv w:val="1"/>
      <w:marLeft w:val="0"/>
      <w:marRight w:val="0"/>
      <w:marTop w:val="0"/>
      <w:marBottom w:val="0"/>
      <w:divBdr>
        <w:top w:val="none" w:sz="0" w:space="0" w:color="auto"/>
        <w:left w:val="none" w:sz="0" w:space="0" w:color="auto"/>
        <w:bottom w:val="none" w:sz="0" w:space="0" w:color="auto"/>
        <w:right w:val="none" w:sz="0" w:space="0" w:color="auto"/>
      </w:divBdr>
    </w:div>
    <w:div w:id="1201164377">
      <w:bodyDiv w:val="1"/>
      <w:marLeft w:val="0"/>
      <w:marRight w:val="0"/>
      <w:marTop w:val="0"/>
      <w:marBottom w:val="0"/>
      <w:divBdr>
        <w:top w:val="none" w:sz="0" w:space="0" w:color="auto"/>
        <w:left w:val="none" w:sz="0" w:space="0" w:color="auto"/>
        <w:bottom w:val="none" w:sz="0" w:space="0" w:color="auto"/>
        <w:right w:val="none" w:sz="0" w:space="0" w:color="auto"/>
      </w:divBdr>
      <w:divsChild>
        <w:div w:id="1096292896">
          <w:marLeft w:val="0"/>
          <w:marRight w:val="0"/>
          <w:marTop w:val="0"/>
          <w:marBottom w:val="0"/>
          <w:divBdr>
            <w:top w:val="none" w:sz="0" w:space="0" w:color="auto"/>
            <w:left w:val="none" w:sz="0" w:space="0" w:color="auto"/>
            <w:bottom w:val="none" w:sz="0" w:space="0" w:color="auto"/>
            <w:right w:val="none" w:sz="0" w:space="0" w:color="auto"/>
          </w:divBdr>
          <w:divsChild>
            <w:div w:id="780146961">
              <w:marLeft w:val="0"/>
              <w:marRight w:val="0"/>
              <w:marTop w:val="0"/>
              <w:marBottom w:val="0"/>
              <w:divBdr>
                <w:top w:val="none" w:sz="0" w:space="0" w:color="auto"/>
                <w:left w:val="none" w:sz="0" w:space="0" w:color="auto"/>
                <w:bottom w:val="none" w:sz="0" w:space="0" w:color="auto"/>
                <w:right w:val="none" w:sz="0" w:space="0" w:color="auto"/>
              </w:divBdr>
              <w:divsChild>
                <w:div w:id="196896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286931175">
      <w:bodyDiv w:val="1"/>
      <w:marLeft w:val="0"/>
      <w:marRight w:val="0"/>
      <w:marTop w:val="0"/>
      <w:marBottom w:val="0"/>
      <w:divBdr>
        <w:top w:val="none" w:sz="0" w:space="0" w:color="auto"/>
        <w:left w:val="none" w:sz="0" w:space="0" w:color="auto"/>
        <w:bottom w:val="none" w:sz="0" w:space="0" w:color="auto"/>
        <w:right w:val="none" w:sz="0" w:space="0" w:color="auto"/>
      </w:divBdr>
    </w:div>
    <w:div w:id="1296527089">
      <w:bodyDiv w:val="1"/>
      <w:marLeft w:val="0"/>
      <w:marRight w:val="0"/>
      <w:marTop w:val="0"/>
      <w:marBottom w:val="0"/>
      <w:divBdr>
        <w:top w:val="none" w:sz="0" w:space="0" w:color="auto"/>
        <w:left w:val="none" w:sz="0" w:space="0" w:color="auto"/>
        <w:bottom w:val="none" w:sz="0" w:space="0" w:color="auto"/>
        <w:right w:val="none" w:sz="0" w:space="0" w:color="auto"/>
      </w:divBdr>
    </w:div>
    <w:div w:id="1325013074">
      <w:bodyDiv w:val="1"/>
      <w:marLeft w:val="0"/>
      <w:marRight w:val="0"/>
      <w:marTop w:val="0"/>
      <w:marBottom w:val="0"/>
      <w:divBdr>
        <w:top w:val="none" w:sz="0" w:space="0" w:color="auto"/>
        <w:left w:val="none" w:sz="0" w:space="0" w:color="auto"/>
        <w:bottom w:val="none" w:sz="0" w:space="0" w:color="auto"/>
        <w:right w:val="none" w:sz="0" w:space="0" w:color="auto"/>
      </w:divBdr>
    </w:div>
    <w:div w:id="1343051031">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365978701">
      <w:bodyDiv w:val="1"/>
      <w:marLeft w:val="0"/>
      <w:marRight w:val="0"/>
      <w:marTop w:val="0"/>
      <w:marBottom w:val="0"/>
      <w:divBdr>
        <w:top w:val="none" w:sz="0" w:space="0" w:color="auto"/>
        <w:left w:val="none" w:sz="0" w:space="0" w:color="auto"/>
        <w:bottom w:val="none" w:sz="0" w:space="0" w:color="auto"/>
        <w:right w:val="none" w:sz="0" w:space="0" w:color="auto"/>
      </w:divBdr>
    </w:div>
    <w:div w:id="1395931863">
      <w:bodyDiv w:val="1"/>
      <w:marLeft w:val="0"/>
      <w:marRight w:val="0"/>
      <w:marTop w:val="0"/>
      <w:marBottom w:val="0"/>
      <w:divBdr>
        <w:top w:val="none" w:sz="0" w:space="0" w:color="auto"/>
        <w:left w:val="none" w:sz="0" w:space="0" w:color="auto"/>
        <w:bottom w:val="none" w:sz="0" w:space="0" w:color="auto"/>
        <w:right w:val="none" w:sz="0" w:space="0" w:color="auto"/>
      </w:divBdr>
    </w:div>
    <w:div w:id="1403944362">
      <w:bodyDiv w:val="1"/>
      <w:marLeft w:val="0"/>
      <w:marRight w:val="0"/>
      <w:marTop w:val="0"/>
      <w:marBottom w:val="0"/>
      <w:divBdr>
        <w:top w:val="none" w:sz="0" w:space="0" w:color="auto"/>
        <w:left w:val="none" w:sz="0" w:space="0" w:color="auto"/>
        <w:bottom w:val="none" w:sz="0" w:space="0" w:color="auto"/>
        <w:right w:val="none" w:sz="0" w:space="0" w:color="auto"/>
      </w:divBdr>
    </w:div>
    <w:div w:id="1442601737">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467316324">
      <w:bodyDiv w:val="1"/>
      <w:marLeft w:val="0"/>
      <w:marRight w:val="0"/>
      <w:marTop w:val="0"/>
      <w:marBottom w:val="0"/>
      <w:divBdr>
        <w:top w:val="none" w:sz="0" w:space="0" w:color="auto"/>
        <w:left w:val="none" w:sz="0" w:space="0" w:color="auto"/>
        <w:bottom w:val="none" w:sz="0" w:space="0" w:color="auto"/>
        <w:right w:val="none" w:sz="0" w:space="0" w:color="auto"/>
      </w:divBdr>
    </w:div>
    <w:div w:id="1502548859">
      <w:bodyDiv w:val="1"/>
      <w:marLeft w:val="0"/>
      <w:marRight w:val="0"/>
      <w:marTop w:val="0"/>
      <w:marBottom w:val="0"/>
      <w:divBdr>
        <w:top w:val="none" w:sz="0" w:space="0" w:color="auto"/>
        <w:left w:val="none" w:sz="0" w:space="0" w:color="auto"/>
        <w:bottom w:val="none" w:sz="0" w:space="0" w:color="auto"/>
        <w:right w:val="none" w:sz="0" w:space="0" w:color="auto"/>
      </w:divBdr>
    </w:div>
    <w:div w:id="1548948553">
      <w:bodyDiv w:val="1"/>
      <w:marLeft w:val="0"/>
      <w:marRight w:val="0"/>
      <w:marTop w:val="0"/>
      <w:marBottom w:val="0"/>
      <w:divBdr>
        <w:top w:val="none" w:sz="0" w:space="0" w:color="auto"/>
        <w:left w:val="none" w:sz="0" w:space="0" w:color="auto"/>
        <w:bottom w:val="none" w:sz="0" w:space="0" w:color="auto"/>
        <w:right w:val="none" w:sz="0" w:space="0" w:color="auto"/>
      </w:divBdr>
    </w:div>
    <w:div w:id="1556236589">
      <w:bodyDiv w:val="1"/>
      <w:marLeft w:val="0"/>
      <w:marRight w:val="0"/>
      <w:marTop w:val="0"/>
      <w:marBottom w:val="0"/>
      <w:divBdr>
        <w:top w:val="none" w:sz="0" w:space="0" w:color="auto"/>
        <w:left w:val="none" w:sz="0" w:space="0" w:color="auto"/>
        <w:bottom w:val="none" w:sz="0" w:space="0" w:color="auto"/>
        <w:right w:val="none" w:sz="0" w:space="0" w:color="auto"/>
      </w:divBdr>
    </w:div>
    <w:div w:id="1622805704">
      <w:bodyDiv w:val="1"/>
      <w:marLeft w:val="0"/>
      <w:marRight w:val="0"/>
      <w:marTop w:val="0"/>
      <w:marBottom w:val="0"/>
      <w:divBdr>
        <w:top w:val="none" w:sz="0" w:space="0" w:color="auto"/>
        <w:left w:val="none" w:sz="0" w:space="0" w:color="auto"/>
        <w:bottom w:val="none" w:sz="0" w:space="0" w:color="auto"/>
        <w:right w:val="none" w:sz="0" w:space="0" w:color="auto"/>
      </w:divBdr>
    </w:div>
    <w:div w:id="1639073350">
      <w:bodyDiv w:val="1"/>
      <w:marLeft w:val="0"/>
      <w:marRight w:val="0"/>
      <w:marTop w:val="0"/>
      <w:marBottom w:val="0"/>
      <w:divBdr>
        <w:top w:val="none" w:sz="0" w:space="0" w:color="auto"/>
        <w:left w:val="none" w:sz="0" w:space="0" w:color="auto"/>
        <w:bottom w:val="none" w:sz="0" w:space="0" w:color="auto"/>
        <w:right w:val="none" w:sz="0" w:space="0" w:color="auto"/>
      </w:divBdr>
    </w:div>
    <w:div w:id="1641960957">
      <w:bodyDiv w:val="1"/>
      <w:marLeft w:val="0"/>
      <w:marRight w:val="0"/>
      <w:marTop w:val="0"/>
      <w:marBottom w:val="0"/>
      <w:divBdr>
        <w:top w:val="none" w:sz="0" w:space="0" w:color="auto"/>
        <w:left w:val="none" w:sz="0" w:space="0" w:color="auto"/>
        <w:bottom w:val="none" w:sz="0" w:space="0" w:color="auto"/>
        <w:right w:val="none" w:sz="0" w:space="0" w:color="auto"/>
      </w:divBdr>
    </w:div>
    <w:div w:id="1678846466">
      <w:bodyDiv w:val="1"/>
      <w:marLeft w:val="0"/>
      <w:marRight w:val="0"/>
      <w:marTop w:val="0"/>
      <w:marBottom w:val="0"/>
      <w:divBdr>
        <w:top w:val="none" w:sz="0" w:space="0" w:color="auto"/>
        <w:left w:val="none" w:sz="0" w:space="0" w:color="auto"/>
        <w:bottom w:val="none" w:sz="0" w:space="0" w:color="auto"/>
        <w:right w:val="none" w:sz="0" w:space="0" w:color="auto"/>
      </w:divBdr>
    </w:div>
    <w:div w:id="1700660387">
      <w:bodyDiv w:val="1"/>
      <w:marLeft w:val="0"/>
      <w:marRight w:val="0"/>
      <w:marTop w:val="0"/>
      <w:marBottom w:val="0"/>
      <w:divBdr>
        <w:top w:val="none" w:sz="0" w:space="0" w:color="auto"/>
        <w:left w:val="none" w:sz="0" w:space="0" w:color="auto"/>
        <w:bottom w:val="none" w:sz="0" w:space="0" w:color="auto"/>
        <w:right w:val="none" w:sz="0" w:space="0" w:color="auto"/>
      </w:divBdr>
    </w:div>
    <w:div w:id="1711370659">
      <w:bodyDiv w:val="1"/>
      <w:marLeft w:val="0"/>
      <w:marRight w:val="0"/>
      <w:marTop w:val="0"/>
      <w:marBottom w:val="0"/>
      <w:divBdr>
        <w:top w:val="none" w:sz="0" w:space="0" w:color="auto"/>
        <w:left w:val="none" w:sz="0" w:space="0" w:color="auto"/>
        <w:bottom w:val="none" w:sz="0" w:space="0" w:color="auto"/>
        <w:right w:val="none" w:sz="0" w:space="0" w:color="auto"/>
      </w:divBdr>
    </w:div>
    <w:div w:id="1739355576">
      <w:bodyDiv w:val="1"/>
      <w:marLeft w:val="0"/>
      <w:marRight w:val="0"/>
      <w:marTop w:val="0"/>
      <w:marBottom w:val="0"/>
      <w:divBdr>
        <w:top w:val="none" w:sz="0" w:space="0" w:color="auto"/>
        <w:left w:val="none" w:sz="0" w:space="0" w:color="auto"/>
        <w:bottom w:val="none" w:sz="0" w:space="0" w:color="auto"/>
        <w:right w:val="none" w:sz="0" w:space="0" w:color="auto"/>
      </w:divBdr>
      <w:divsChild>
        <w:div w:id="529226084">
          <w:marLeft w:val="547"/>
          <w:marRight w:val="0"/>
          <w:marTop w:val="115"/>
          <w:marBottom w:val="0"/>
          <w:divBdr>
            <w:top w:val="none" w:sz="0" w:space="0" w:color="auto"/>
            <w:left w:val="none" w:sz="0" w:space="0" w:color="auto"/>
            <w:bottom w:val="none" w:sz="0" w:space="0" w:color="auto"/>
            <w:right w:val="none" w:sz="0" w:space="0" w:color="auto"/>
          </w:divBdr>
        </w:div>
        <w:div w:id="1039935797">
          <w:marLeft w:val="547"/>
          <w:marRight w:val="0"/>
          <w:marTop w:val="115"/>
          <w:marBottom w:val="0"/>
          <w:divBdr>
            <w:top w:val="none" w:sz="0" w:space="0" w:color="auto"/>
            <w:left w:val="none" w:sz="0" w:space="0" w:color="auto"/>
            <w:bottom w:val="none" w:sz="0" w:space="0" w:color="auto"/>
            <w:right w:val="none" w:sz="0" w:space="0" w:color="auto"/>
          </w:divBdr>
        </w:div>
        <w:div w:id="448011486">
          <w:marLeft w:val="547"/>
          <w:marRight w:val="0"/>
          <w:marTop w:val="115"/>
          <w:marBottom w:val="0"/>
          <w:divBdr>
            <w:top w:val="none" w:sz="0" w:space="0" w:color="auto"/>
            <w:left w:val="none" w:sz="0" w:space="0" w:color="auto"/>
            <w:bottom w:val="none" w:sz="0" w:space="0" w:color="auto"/>
            <w:right w:val="none" w:sz="0" w:space="0" w:color="auto"/>
          </w:divBdr>
        </w:div>
        <w:div w:id="922572582">
          <w:marLeft w:val="547"/>
          <w:marRight w:val="0"/>
          <w:marTop w:val="115"/>
          <w:marBottom w:val="0"/>
          <w:divBdr>
            <w:top w:val="none" w:sz="0" w:space="0" w:color="auto"/>
            <w:left w:val="none" w:sz="0" w:space="0" w:color="auto"/>
            <w:bottom w:val="none" w:sz="0" w:space="0" w:color="auto"/>
            <w:right w:val="none" w:sz="0" w:space="0" w:color="auto"/>
          </w:divBdr>
        </w:div>
      </w:divsChild>
    </w:div>
    <w:div w:id="1755280689">
      <w:bodyDiv w:val="1"/>
      <w:marLeft w:val="0"/>
      <w:marRight w:val="0"/>
      <w:marTop w:val="0"/>
      <w:marBottom w:val="0"/>
      <w:divBdr>
        <w:top w:val="none" w:sz="0" w:space="0" w:color="auto"/>
        <w:left w:val="none" w:sz="0" w:space="0" w:color="auto"/>
        <w:bottom w:val="none" w:sz="0" w:space="0" w:color="auto"/>
        <w:right w:val="none" w:sz="0" w:space="0" w:color="auto"/>
      </w:divBdr>
    </w:div>
    <w:div w:id="1757823654">
      <w:bodyDiv w:val="1"/>
      <w:marLeft w:val="0"/>
      <w:marRight w:val="0"/>
      <w:marTop w:val="0"/>
      <w:marBottom w:val="0"/>
      <w:divBdr>
        <w:top w:val="none" w:sz="0" w:space="0" w:color="auto"/>
        <w:left w:val="none" w:sz="0" w:space="0" w:color="auto"/>
        <w:bottom w:val="none" w:sz="0" w:space="0" w:color="auto"/>
        <w:right w:val="none" w:sz="0" w:space="0" w:color="auto"/>
      </w:divBdr>
    </w:div>
    <w:div w:id="1782650695">
      <w:bodyDiv w:val="1"/>
      <w:marLeft w:val="0"/>
      <w:marRight w:val="0"/>
      <w:marTop w:val="0"/>
      <w:marBottom w:val="0"/>
      <w:divBdr>
        <w:top w:val="none" w:sz="0" w:space="0" w:color="auto"/>
        <w:left w:val="none" w:sz="0" w:space="0" w:color="auto"/>
        <w:bottom w:val="none" w:sz="0" w:space="0" w:color="auto"/>
        <w:right w:val="none" w:sz="0" w:space="0" w:color="auto"/>
      </w:divBdr>
    </w:div>
    <w:div w:id="1831676138">
      <w:bodyDiv w:val="1"/>
      <w:marLeft w:val="0"/>
      <w:marRight w:val="0"/>
      <w:marTop w:val="0"/>
      <w:marBottom w:val="0"/>
      <w:divBdr>
        <w:top w:val="none" w:sz="0" w:space="0" w:color="auto"/>
        <w:left w:val="none" w:sz="0" w:space="0" w:color="auto"/>
        <w:bottom w:val="none" w:sz="0" w:space="0" w:color="auto"/>
        <w:right w:val="none" w:sz="0" w:space="0" w:color="auto"/>
      </w:divBdr>
    </w:div>
    <w:div w:id="1848473090">
      <w:bodyDiv w:val="1"/>
      <w:marLeft w:val="0"/>
      <w:marRight w:val="0"/>
      <w:marTop w:val="0"/>
      <w:marBottom w:val="0"/>
      <w:divBdr>
        <w:top w:val="none" w:sz="0" w:space="0" w:color="auto"/>
        <w:left w:val="none" w:sz="0" w:space="0" w:color="auto"/>
        <w:bottom w:val="none" w:sz="0" w:space="0" w:color="auto"/>
        <w:right w:val="none" w:sz="0" w:space="0" w:color="auto"/>
      </w:divBdr>
    </w:div>
    <w:div w:id="1866163969">
      <w:bodyDiv w:val="1"/>
      <w:marLeft w:val="0"/>
      <w:marRight w:val="0"/>
      <w:marTop w:val="0"/>
      <w:marBottom w:val="0"/>
      <w:divBdr>
        <w:top w:val="none" w:sz="0" w:space="0" w:color="auto"/>
        <w:left w:val="none" w:sz="0" w:space="0" w:color="auto"/>
        <w:bottom w:val="none" w:sz="0" w:space="0" w:color="auto"/>
        <w:right w:val="none" w:sz="0" w:space="0" w:color="auto"/>
      </w:divBdr>
    </w:div>
    <w:div w:id="1881504219">
      <w:bodyDiv w:val="1"/>
      <w:marLeft w:val="0"/>
      <w:marRight w:val="0"/>
      <w:marTop w:val="0"/>
      <w:marBottom w:val="0"/>
      <w:divBdr>
        <w:top w:val="none" w:sz="0" w:space="0" w:color="auto"/>
        <w:left w:val="none" w:sz="0" w:space="0" w:color="auto"/>
        <w:bottom w:val="none" w:sz="0" w:space="0" w:color="auto"/>
        <w:right w:val="none" w:sz="0" w:space="0" w:color="auto"/>
      </w:divBdr>
    </w:div>
    <w:div w:id="1925649996">
      <w:bodyDiv w:val="1"/>
      <w:marLeft w:val="0"/>
      <w:marRight w:val="0"/>
      <w:marTop w:val="0"/>
      <w:marBottom w:val="0"/>
      <w:divBdr>
        <w:top w:val="none" w:sz="0" w:space="0" w:color="auto"/>
        <w:left w:val="none" w:sz="0" w:space="0" w:color="auto"/>
        <w:bottom w:val="none" w:sz="0" w:space="0" w:color="auto"/>
        <w:right w:val="none" w:sz="0" w:space="0" w:color="auto"/>
      </w:divBdr>
    </w:div>
    <w:div w:id="1926723553">
      <w:bodyDiv w:val="1"/>
      <w:marLeft w:val="0"/>
      <w:marRight w:val="0"/>
      <w:marTop w:val="0"/>
      <w:marBottom w:val="0"/>
      <w:divBdr>
        <w:top w:val="none" w:sz="0" w:space="0" w:color="auto"/>
        <w:left w:val="none" w:sz="0" w:space="0" w:color="auto"/>
        <w:bottom w:val="none" w:sz="0" w:space="0" w:color="auto"/>
        <w:right w:val="none" w:sz="0" w:space="0" w:color="auto"/>
      </w:divBdr>
    </w:div>
    <w:div w:id="1969315786">
      <w:bodyDiv w:val="1"/>
      <w:marLeft w:val="0"/>
      <w:marRight w:val="0"/>
      <w:marTop w:val="0"/>
      <w:marBottom w:val="0"/>
      <w:divBdr>
        <w:top w:val="none" w:sz="0" w:space="0" w:color="auto"/>
        <w:left w:val="none" w:sz="0" w:space="0" w:color="auto"/>
        <w:bottom w:val="none" w:sz="0" w:space="0" w:color="auto"/>
        <w:right w:val="none" w:sz="0" w:space="0" w:color="auto"/>
      </w:divBdr>
    </w:div>
    <w:div w:id="1982228928">
      <w:bodyDiv w:val="1"/>
      <w:marLeft w:val="0"/>
      <w:marRight w:val="0"/>
      <w:marTop w:val="0"/>
      <w:marBottom w:val="0"/>
      <w:divBdr>
        <w:top w:val="none" w:sz="0" w:space="0" w:color="auto"/>
        <w:left w:val="none" w:sz="0" w:space="0" w:color="auto"/>
        <w:bottom w:val="none" w:sz="0" w:space="0" w:color="auto"/>
        <w:right w:val="none" w:sz="0" w:space="0" w:color="auto"/>
      </w:divBdr>
    </w:div>
    <w:div w:id="1990398736">
      <w:bodyDiv w:val="1"/>
      <w:marLeft w:val="0"/>
      <w:marRight w:val="0"/>
      <w:marTop w:val="0"/>
      <w:marBottom w:val="0"/>
      <w:divBdr>
        <w:top w:val="none" w:sz="0" w:space="0" w:color="auto"/>
        <w:left w:val="none" w:sz="0" w:space="0" w:color="auto"/>
        <w:bottom w:val="none" w:sz="0" w:space="0" w:color="auto"/>
        <w:right w:val="none" w:sz="0" w:space="0" w:color="auto"/>
      </w:divBdr>
    </w:div>
    <w:div w:id="2120638316">
      <w:bodyDiv w:val="1"/>
      <w:marLeft w:val="0"/>
      <w:marRight w:val="0"/>
      <w:marTop w:val="0"/>
      <w:marBottom w:val="0"/>
      <w:divBdr>
        <w:top w:val="none" w:sz="0" w:space="0" w:color="auto"/>
        <w:left w:val="none" w:sz="0" w:space="0" w:color="auto"/>
        <w:bottom w:val="none" w:sz="0" w:space="0" w:color="auto"/>
        <w:right w:val="none" w:sz="0" w:space="0" w:color="auto"/>
      </w:divBdr>
    </w:div>
    <w:div w:id="2138984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oxfordhomelessmovement.org.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398376-4C01-43FD-AAA8-0095FE44F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1246CAD</Template>
  <TotalTime>60</TotalTime>
  <Pages>15</Pages>
  <Words>5002</Words>
  <Characters>27236</Characters>
  <Application>Microsoft Office Word</Application>
  <DocSecurity>0</DocSecurity>
  <Lines>226</Lines>
  <Paragraphs>64</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32174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ossi.mosley</dc:creator>
  <cp:lastModifiedBy>JMitchell</cp:lastModifiedBy>
  <cp:revision>5</cp:revision>
  <cp:lastPrinted>2020-01-20T10:33:00Z</cp:lastPrinted>
  <dcterms:created xsi:type="dcterms:W3CDTF">2020-01-20T09:48:00Z</dcterms:created>
  <dcterms:modified xsi:type="dcterms:W3CDTF">2020-02-03T09:34:00Z</dcterms:modified>
</cp:coreProperties>
</file>